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7E40" w14:textId="7FFF184A" w:rsidR="00296D0D" w:rsidRDefault="00296D0D" w:rsidP="00FB7C09">
      <w:pPr>
        <w:spacing w:after="0" w:line="720" w:lineRule="exact"/>
        <w:jc w:val="center"/>
        <w:rPr>
          <w:rFonts w:ascii="方正小标宋简体" w:eastAsia="方正小标宋简体" w:hAnsi="方正小标宋简体" w:hint="eastAsia"/>
          <w:sz w:val="44"/>
        </w:rPr>
      </w:pPr>
      <w:r w:rsidRPr="00296D0D">
        <w:rPr>
          <w:rFonts w:ascii="方正小标宋简体" w:eastAsia="方正小标宋简体" w:hAnsi="方正小标宋简体" w:hint="eastAsia"/>
          <w:sz w:val="44"/>
        </w:rPr>
        <w:t>中国科协办公厅关于印发《中国科协青年人才托举工程博士生专项计划管理办法（试行）》的通知</w:t>
      </w:r>
    </w:p>
    <w:p w14:paraId="495A4524" w14:textId="3D172023" w:rsidR="00296D0D" w:rsidRDefault="00296D0D" w:rsidP="00296D0D">
      <w:pPr>
        <w:jc w:val="right"/>
        <w:rPr>
          <w:rFonts w:ascii="仿宋_GB2312" w:eastAsia="仿宋_GB2312" w:hAnsi="方正小标宋简体" w:hint="eastAsia"/>
          <w:sz w:val="32"/>
        </w:rPr>
      </w:pPr>
      <w:r w:rsidRPr="00296D0D">
        <w:rPr>
          <w:rFonts w:ascii="仿宋_GB2312" w:eastAsia="仿宋_GB2312" w:hAnsi="方正小标宋简体" w:hint="eastAsia"/>
          <w:sz w:val="32"/>
        </w:rPr>
        <w:t>科协办发组字〔2024〕21号</w:t>
      </w:r>
    </w:p>
    <w:p w14:paraId="42FFC7F2" w14:textId="77777777" w:rsidR="00296D0D" w:rsidRDefault="00296D0D" w:rsidP="00296D0D">
      <w:pPr>
        <w:jc w:val="center"/>
        <w:rPr>
          <w:rFonts w:ascii="仿宋_GB2312" w:eastAsia="仿宋_GB2312" w:hAnsi="方正小标宋简体" w:hint="eastAsia"/>
          <w:sz w:val="32"/>
        </w:rPr>
      </w:pPr>
    </w:p>
    <w:p w14:paraId="3CC8D4D8" w14:textId="77777777" w:rsidR="00296D0D" w:rsidRPr="00296D0D" w:rsidRDefault="00296D0D" w:rsidP="001639AD">
      <w:pPr>
        <w:spacing w:after="0" w:line="560" w:lineRule="exact"/>
        <w:jc w:val="both"/>
        <w:rPr>
          <w:rFonts w:ascii="仿宋_GB2312" w:eastAsia="仿宋_GB2312" w:hAnsi="方正小标宋简体" w:hint="eastAsia"/>
          <w:sz w:val="32"/>
        </w:rPr>
      </w:pPr>
      <w:r w:rsidRPr="00296D0D">
        <w:rPr>
          <w:rFonts w:ascii="仿宋_GB2312" w:eastAsia="仿宋_GB2312" w:hAnsi="方正小标宋简体" w:hint="eastAsia"/>
          <w:sz w:val="32"/>
        </w:rPr>
        <w:t>各全国学会、协会、研究会，各省、自治区、直辖市及新疆生产建设兵团科协，各有关高校科协：</w:t>
      </w:r>
    </w:p>
    <w:p w14:paraId="7F9A2754" w14:textId="77777777" w:rsid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为规范中国科协青年人才托举工程博士生专项计划的管理和实施，充分发挥科协组织服务青年科技人才增长才干、拓宽眼界、提升能力等方面的积极作用，中国科协制定了《中国科协青年人才托举工程博士生专项计划管理办法（试行）》，现印发给你们，请认真贯彻执行。</w:t>
      </w:r>
    </w:p>
    <w:p w14:paraId="09AAEDFA" w14:textId="77777777" w:rsidR="00296D0D" w:rsidRDefault="00296D0D" w:rsidP="00296D0D">
      <w:pPr>
        <w:spacing w:after="0" w:line="560" w:lineRule="exact"/>
        <w:ind w:firstLineChars="200" w:firstLine="640"/>
        <w:rPr>
          <w:rFonts w:ascii="仿宋_GB2312" w:eastAsia="仿宋_GB2312" w:hAnsi="方正小标宋简体" w:hint="eastAsia"/>
          <w:sz w:val="32"/>
        </w:rPr>
      </w:pPr>
    </w:p>
    <w:p w14:paraId="0941D1B7" w14:textId="77777777" w:rsidR="00296D0D" w:rsidRPr="00296D0D" w:rsidRDefault="00296D0D" w:rsidP="00296D0D">
      <w:pPr>
        <w:spacing w:after="0" w:line="560" w:lineRule="exact"/>
        <w:ind w:firstLineChars="200" w:firstLine="640"/>
        <w:rPr>
          <w:rFonts w:ascii="仿宋_GB2312" w:eastAsia="仿宋_GB2312" w:hAnsi="方正小标宋简体" w:hint="eastAsia"/>
          <w:sz w:val="32"/>
        </w:rPr>
      </w:pPr>
    </w:p>
    <w:p w14:paraId="57E3AF96" w14:textId="77777777" w:rsidR="00296D0D" w:rsidRPr="00296D0D" w:rsidRDefault="00296D0D" w:rsidP="00296D0D">
      <w:pPr>
        <w:spacing w:after="0" w:line="560" w:lineRule="exact"/>
        <w:ind w:rightChars="553" w:right="1217"/>
        <w:jc w:val="right"/>
        <w:rPr>
          <w:rFonts w:ascii="仿宋_GB2312" w:eastAsia="仿宋_GB2312" w:hAnsi="方正小标宋简体" w:hint="eastAsia"/>
          <w:sz w:val="32"/>
        </w:rPr>
      </w:pPr>
      <w:r w:rsidRPr="00296D0D">
        <w:rPr>
          <w:rFonts w:ascii="仿宋_GB2312" w:eastAsia="仿宋_GB2312" w:hAnsi="方正小标宋简体" w:hint="eastAsia"/>
          <w:sz w:val="32"/>
        </w:rPr>
        <w:t>中国科协办公厅</w:t>
      </w:r>
    </w:p>
    <w:p w14:paraId="54D3E0E3" w14:textId="77777777" w:rsidR="00296D0D" w:rsidRPr="00296D0D" w:rsidRDefault="00296D0D" w:rsidP="00296D0D">
      <w:pPr>
        <w:spacing w:after="0" w:line="560" w:lineRule="exact"/>
        <w:ind w:rightChars="489" w:right="1076"/>
        <w:jc w:val="right"/>
        <w:rPr>
          <w:rFonts w:ascii="仿宋_GB2312" w:eastAsia="仿宋_GB2312" w:hAnsi="方正小标宋简体" w:hint="eastAsia"/>
          <w:sz w:val="32"/>
        </w:rPr>
      </w:pPr>
      <w:r w:rsidRPr="00296D0D">
        <w:rPr>
          <w:rFonts w:ascii="仿宋_GB2312" w:eastAsia="仿宋_GB2312" w:hAnsi="方正小标宋简体" w:hint="eastAsia"/>
          <w:sz w:val="32"/>
        </w:rPr>
        <w:t>2024年9月13日</w:t>
      </w:r>
    </w:p>
    <w:p w14:paraId="5BB9545B" w14:textId="77777777" w:rsidR="00296D0D" w:rsidRDefault="00296D0D" w:rsidP="00296D0D">
      <w:pPr>
        <w:ind w:firstLineChars="200" w:firstLine="640"/>
        <w:rPr>
          <w:rFonts w:ascii="仿宋_GB2312" w:eastAsia="仿宋_GB2312" w:hAnsi="方正小标宋简体" w:hint="eastAsia"/>
          <w:sz w:val="32"/>
        </w:rPr>
      </w:pPr>
    </w:p>
    <w:p w14:paraId="6B11C194" w14:textId="77777777" w:rsidR="00296D0D" w:rsidRDefault="00296D0D" w:rsidP="00296D0D">
      <w:pPr>
        <w:ind w:firstLineChars="200" w:firstLine="640"/>
        <w:rPr>
          <w:rFonts w:ascii="仿宋_GB2312" w:eastAsia="仿宋_GB2312" w:hAnsi="方正小标宋简体" w:hint="eastAsia"/>
          <w:sz w:val="32"/>
        </w:rPr>
      </w:pPr>
    </w:p>
    <w:p w14:paraId="5643C9F5" w14:textId="77777777" w:rsidR="001639AD" w:rsidRDefault="001639AD" w:rsidP="00296D0D">
      <w:pPr>
        <w:ind w:firstLineChars="200" w:firstLine="640"/>
        <w:rPr>
          <w:rFonts w:ascii="仿宋_GB2312" w:eastAsia="仿宋_GB2312" w:hAnsi="方正小标宋简体" w:hint="eastAsia"/>
          <w:sz w:val="32"/>
        </w:rPr>
      </w:pPr>
    </w:p>
    <w:p w14:paraId="190924A8" w14:textId="77777777" w:rsidR="001639AD" w:rsidRDefault="001639AD" w:rsidP="00296D0D">
      <w:pPr>
        <w:ind w:firstLineChars="200" w:firstLine="640"/>
        <w:rPr>
          <w:rFonts w:ascii="仿宋_GB2312" w:eastAsia="仿宋_GB2312" w:hAnsi="方正小标宋简体" w:hint="eastAsia"/>
          <w:sz w:val="32"/>
        </w:rPr>
      </w:pPr>
    </w:p>
    <w:p w14:paraId="082FBF38" w14:textId="77777777" w:rsidR="00296D0D" w:rsidRPr="00296D0D" w:rsidRDefault="00296D0D" w:rsidP="001639AD">
      <w:pPr>
        <w:spacing w:after="0" w:line="240" w:lineRule="auto"/>
        <w:jc w:val="center"/>
        <w:rPr>
          <w:rFonts w:ascii="方正小标宋简体" w:eastAsia="方正小标宋简体" w:hAnsi="方正小标宋简体" w:hint="eastAsia"/>
          <w:sz w:val="44"/>
        </w:rPr>
      </w:pPr>
      <w:r w:rsidRPr="00296D0D">
        <w:rPr>
          <w:rFonts w:ascii="方正小标宋简体" w:eastAsia="方正小标宋简体" w:hAnsi="方正小标宋简体" w:hint="eastAsia"/>
          <w:sz w:val="44"/>
        </w:rPr>
        <w:t>中国科协青年人才托举工程博士生专项计</w:t>
      </w:r>
      <w:r w:rsidRPr="00296D0D">
        <w:rPr>
          <w:rFonts w:ascii="方正小标宋简体" w:eastAsia="方正小标宋简体" w:hAnsi="方正小标宋简体" w:hint="eastAsia"/>
          <w:sz w:val="44"/>
        </w:rPr>
        <w:lastRenderedPageBreak/>
        <w:t>划管理办法（试行）</w:t>
      </w:r>
    </w:p>
    <w:p w14:paraId="5A5CE61E" w14:textId="77777777" w:rsidR="00296D0D" w:rsidRDefault="00296D0D" w:rsidP="001639AD">
      <w:pPr>
        <w:jc w:val="both"/>
        <w:rPr>
          <w:rFonts w:ascii="仿宋_GB2312" w:eastAsia="仿宋_GB2312" w:hAnsi="方正小标宋简体" w:hint="eastAsia"/>
          <w:sz w:val="32"/>
        </w:rPr>
      </w:pPr>
    </w:p>
    <w:p w14:paraId="3D266726"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第一章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 xml:space="preserve">总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则</w:t>
      </w:r>
    </w:p>
    <w:p w14:paraId="054FEF14"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第一条 为规范中国科协青年人才托举工程博士生专项计划（以下简称本计划）的管理和实施，根据《中国科协财政项目管理办法（修订）》及相关法律法规，制定本办法。</w:t>
      </w:r>
    </w:p>
    <w:p w14:paraId="669396A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第二条 本计划锚定2035年建成科技强国目标，创新青年科技人才发现、选拔、培养机制，以30周岁以下高年级在读博士研究生为支持对象，充分发挥科协组织服务青年科技人才增长才干、拓宽眼界、提升能力等方面的积极作用，助力优秀博士研究生更好成长，加快创新型青年科技人才培养。</w:t>
      </w:r>
    </w:p>
    <w:p w14:paraId="47083E7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第三条</w:t>
      </w:r>
      <w:r w:rsidRPr="00296D0D">
        <w:rPr>
          <w:rFonts w:ascii="仿宋_GB2312" w:eastAsia="仿宋_GB2312" w:hAnsi="Cambria" w:cs="Cambria"/>
          <w:sz w:val="32"/>
        </w:rPr>
        <w:t> </w:t>
      </w:r>
      <w:r w:rsidRPr="00296D0D">
        <w:rPr>
          <w:rFonts w:ascii="仿宋_GB2312" w:eastAsia="仿宋_GB2312" w:hAnsi="方正小标宋简体" w:hint="eastAsia"/>
          <w:sz w:val="32"/>
        </w:rPr>
        <w:t>本计划的实施主体包括中国科协，中国科协所属全国学会、协会、研究会（以下简称全国学会），省、自治区、直辖市及新疆生产建设兵团科协（以下简称省级科协）和高等学校科协（以下简称高校科协）。</w:t>
      </w:r>
    </w:p>
    <w:p w14:paraId="2251505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第四条 中国科协负责本计划的总体设计、统筹协调、组织实施和资金管理等工作。全国学会负责本计划实施所涉及的博士研究生学术指导和托举服务，提供学术成长机会。省级科协负责本计划实施所涉及的协调联络和本地区博士研究生推荐工作。高校科协负责做好博士研究生推荐和日常联系服务工作。</w:t>
      </w:r>
    </w:p>
    <w:p w14:paraId="24841623"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第五条</w:t>
      </w:r>
      <w:r w:rsidRPr="00296D0D">
        <w:rPr>
          <w:rFonts w:ascii="仿宋_GB2312" w:eastAsia="仿宋_GB2312" w:hAnsi="Cambria" w:cs="Cambria"/>
          <w:sz w:val="32"/>
        </w:rPr>
        <w:t> </w:t>
      </w:r>
      <w:r w:rsidRPr="00296D0D">
        <w:rPr>
          <w:rFonts w:ascii="仿宋_GB2312" w:eastAsia="仿宋_GB2312" w:hAnsi="方正小标宋简体" w:hint="eastAsia"/>
          <w:sz w:val="32"/>
        </w:rPr>
        <w:t>本计划主要采取基层推荐、组织审定、定向资助、综合支持的方式进行，一般每年开展一次。</w:t>
      </w:r>
    </w:p>
    <w:p w14:paraId="7A521234"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lastRenderedPageBreak/>
        <w:t xml:space="preserve">第二章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支持对象和遴选条件</w:t>
      </w:r>
    </w:p>
    <w:p w14:paraId="39915EC2"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第六条 本计划支持对象为学籍关系在中华人民共和国境内的全日制高年级（二年级及以上）在读博士研究生。</w:t>
      </w:r>
    </w:p>
    <w:p w14:paraId="18ED1AB6"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第七条</w:t>
      </w:r>
      <w:r w:rsidRPr="00296D0D">
        <w:rPr>
          <w:rFonts w:ascii="仿宋_GB2312" w:eastAsia="仿宋_GB2312" w:hAnsi="Cambria" w:cs="Cambria"/>
          <w:sz w:val="32"/>
        </w:rPr>
        <w:t> </w:t>
      </w:r>
      <w:r w:rsidRPr="00296D0D">
        <w:rPr>
          <w:rFonts w:ascii="仿宋_GB2312" w:eastAsia="仿宋_GB2312" w:hAnsi="方正小标宋简体" w:hint="eastAsia"/>
          <w:sz w:val="32"/>
        </w:rPr>
        <w:t>本计划支持对象的托举期不超过2年。</w:t>
      </w:r>
    </w:p>
    <w:p w14:paraId="5B26709D"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第八条 本计划支持对象的遴选条件包括：</w:t>
      </w:r>
    </w:p>
    <w:p w14:paraId="6CBB0F39"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（一）热爱祖国、遵纪守法、具有良好的政治素质；</w:t>
      </w:r>
    </w:p>
    <w:p w14:paraId="5F43F5E4"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（二）勤奋学习、刻苦钻研，具有良好的学风和道德，无学术不端行为；</w:t>
      </w:r>
    </w:p>
    <w:p w14:paraId="4D3D1327"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（三）具有中国国籍、年龄不超过30周岁（按申请年8月31日实足年龄计算）；</w:t>
      </w:r>
    </w:p>
    <w:p w14:paraId="3B14AB84"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（四）博士与硕士阶段的科研方向具有一定延续性、相关性或学科交叉性，博士所学专业属于理学、工学、农学和医学等学科门类，且有志于长期从事科技工作；</w:t>
      </w:r>
    </w:p>
    <w:p w14:paraId="2304B375"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（五）立足国家需求、产业趋势、产业</w:t>
      </w:r>
      <w:proofErr w:type="gramStart"/>
      <w:r w:rsidRPr="00296D0D">
        <w:rPr>
          <w:rFonts w:ascii="仿宋_GB2312" w:eastAsia="仿宋_GB2312" w:hAnsi="方正小标宋简体" w:hint="eastAsia"/>
          <w:sz w:val="32"/>
        </w:rPr>
        <w:t>链供应链关键</w:t>
      </w:r>
      <w:proofErr w:type="gramEnd"/>
      <w:r w:rsidRPr="00296D0D">
        <w:rPr>
          <w:rFonts w:ascii="仿宋_GB2312" w:eastAsia="仿宋_GB2312" w:hAnsi="方正小标宋简体" w:hint="eastAsia"/>
          <w:sz w:val="32"/>
        </w:rPr>
        <w:t>环节，聚焦国家重大战略领域、重点领域和薄弱环节，瞄准战略性新兴产业和未来产业开展科研攻关；</w:t>
      </w:r>
    </w:p>
    <w:p w14:paraId="0665547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（六）同等条件下，省级优秀硕士学位论文获得者或研究生阶段（含硕士、硕博连读、直博、普博）国家级奖学金获得者优先推荐；</w:t>
      </w:r>
    </w:p>
    <w:p w14:paraId="78652AB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（七）同等条件下，曾在本领域高水平期刊上以第一作者（</w:t>
      </w:r>
      <w:proofErr w:type="gramStart"/>
      <w:r w:rsidRPr="00296D0D">
        <w:rPr>
          <w:rFonts w:ascii="仿宋_GB2312" w:eastAsia="仿宋_GB2312" w:hAnsi="方正小标宋简体" w:hint="eastAsia"/>
          <w:sz w:val="32"/>
        </w:rPr>
        <w:t>含共同</w:t>
      </w:r>
      <w:proofErr w:type="gramEnd"/>
      <w:r w:rsidRPr="00296D0D">
        <w:rPr>
          <w:rFonts w:ascii="仿宋_GB2312" w:eastAsia="仿宋_GB2312" w:hAnsi="方正小标宋简体" w:hint="eastAsia"/>
          <w:sz w:val="32"/>
        </w:rPr>
        <w:t>第一作者）发表论文，或作为第一发明人获得国家发明专利授权，或获得省部级及以上科技奖励（排名前三）的优先推荐。</w:t>
      </w:r>
    </w:p>
    <w:p w14:paraId="5C24D379"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第三章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工作程序</w:t>
      </w:r>
    </w:p>
    <w:p w14:paraId="0BD1A1E7"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lastRenderedPageBreak/>
        <w:t>第九条</w:t>
      </w:r>
      <w:r w:rsidRPr="00296D0D">
        <w:rPr>
          <w:rFonts w:ascii="仿宋_GB2312" w:eastAsia="仿宋_GB2312" w:hAnsi="Cambria" w:cs="Cambria"/>
          <w:sz w:val="32"/>
        </w:rPr>
        <w:t> </w:t>
      </w:r>
      <w:r w:rsidRPr="00296D0D">
        <w:rPr>
          <w:rFonts w:ascii="仿宋_GB2312" w:eastAsia="仿宋_GB2312" w:hAnsi="方正小标宋简体" w:hint="eastAsia"/>
          <w:sz w:val="32"/>
        </w:rPr>
        <w:t>中国科协统一部署本计划支持对象的推荐工作，确定托举名额及相关工作安排，汇总省级科协上报的推荐名单并协调匹配负责托举服务的全国学会，结合全国学会意见确定最终入选者名单。</w:t>
      </w:r>
    </w:p>
    <w:p w14:paraId="043CBF56"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第十条</w:t>
      </w:r>
      <w:r w:rsidRPr="00296D0D">
        <w:rPr>
          <w:rFonts w:ascii="仿宋_GB2312" w:eastAsia="仿宋_GB2312" w:hAnsi="Cambria" w:cs="Cambria"/>
          <w:sz w:val="32"/>
        </w:rPr>
        <w:t> </w:t>
      </w:r>
      <w:r w:rsidRPr="00296D0D">
        <w:rPr>
          <w:rFonts w:ascii="仿宋_GB2312" w:eastAsia="仿宋_GB2312" w:hAnsi="方正小标宋简体" w:hint="eastAsia"/>
          <w:sz w:val="32"/>
        </w:rPr>
        <w:t>省级科协按照属地管理原则，组织本地区高校科协开展推荐工作，汇总推荐候选人并根据遴选条件复审，结合实际统筹学科结构，确定推荐名单上报中国科协。</w:t>
      </w:r>
    </w:p>
    <w:p w14:paraId="2985045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省级科协可根据实际工作开展情况，设置候选人自荐通道，按照遴选条件严格把关，自荐名额不超过推荐名额的30%。</w:t>
      </w:r>
    </w:p>
    <w:p w14:paraId="6F050726"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第十一条</w:t>
      </w:r>
      <w:r w:rsidRPr="00296D0D">
        <w:rPr>
          <w:rFonts w:ascii="仿宋_GB2312" w:eastAsia="仿宋_GB2312" w:hAnsi="Cambria" w:cs="Cambria"/>
          <w:sz w:val="32"/>
        </w:rPr>
        <w:t> </w:t>
      </w:r>
      <w:r w:rsidRPr="00296D0D">
        <w:rPr>
          <w:rFonts w:ascii="仿宋_GB2312" w:eastAsia="仿宋_GB2312" w:hAnsi="方正小标宋简体" w:hint="eastAsia"/>
          <w:sz w:val="32"/>
        </w:rPr>
        <w:t>高校科协在本校开展推荐，组织推荐候选人线上填报《中国科协青年人才托举工程博士生专项计划推荐表》，并根据遴选条件初审。候选人原则上应由所在学校的高校科协推荐，填报时需选择1—3个全国学会作为意向托举单位。</w:t>
      </w:r>
    </w:p>
    <w:p w14:paraId="2EF032D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第十二条</w:t>
      </w:r>
      <w:r w:rsidRPr="00296D0D">
        <w:rPr>
          <w:rFonts w:ascii="仿宋_GB2312" w:eastAsia="仿宋_GB2312" w:hAnsi="Cambria" w:cs="Cambria"/>
          <w:sz w:val="32"/>
        </w:rPr>
        <w:t> </w:t>
      </w:r>
      <w:r w:rsidRPr="00296D0D">
        <w:rPr>
          <w:rFonts w:ascii="仿宋_GB2312" w:eastAsia="仿宋_GB2312" w:hAnsi="方正小标宋简体" w:hint="eastAsia"/>
          <w:sz w:val="32"/>
        </w:rPr>
        <w:t>全国学会对协调匹配的推荐候选人进行确认，提出拟托举人员名单，报中国科协审定。</w:t>
      </w:r>
    </w:p>
    <w:p w14:paraId="4FDA5910"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第四章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托举服务内容和资助方式</w:t>
      </w:r>
    </w:p>
    <w:p w14:paraId="06978C3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第十三条 本计划为入选者提供组织吸纳、学术兼职和学术资助三方面托举服务。</w:t>
      </w:r>
    </w:p>
    <w:p w14:paraId="7EE9CAF3"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全国学会充分发挥全国性学术组织作用，依托人才</w:t>
      </w:r>
      <w:proofErr w:type="gramStart"/>
      <w:r w:rsidRPr="00296D0D">
        <w:rPr>
          <w:rFonts w:ascii="仿宋_GB2312" w:eastAsia="仿宋_GB2312" w:hAnsi="方正小标宋简体" w:hint="eastAsia"/>
          <w:sz w:val="32"/>
        </w:rPr>
        <w:t>荟</w:t>
      </w:r>
      <w:proofErr w:type="gramEnd"/>
      <w:r w:rsidRPr="00296D0D">
        <w:rPr>
          <w:rFonts w:ascii="仿宋_GB2312" w:eastAsia="仿宋_GB2312" w:hAnsi="方正小标宋简体" w:hint="eastAsia"/>
          <w:sz w:val="32"/>
        </w:rPr>
        <w:t>聚、学术资源丰富的优势，通过组织吸纳、学术兼职等方式为入选者提供高质量托举服务。鼓励省级科协、高校科协依托自身优势自主开展托举服务。</w:t>
      </w:r>
    </w:p>
    <w:p w14:paraId="6A1BD159"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第十四条</w:t>
      </w:r>
      <w:r w:rsidRPr="00296D0D">
        <w:rPr>
          <w:rFonts w:ascii="仿宋_GB2312" w:eastAsia="仿宋_GB2312" w:hAnsi="Cambria" w:cs="Cambria"/>
          <w:sz w:val="32"/>
        </w:rPr>
        <w:t> </w:t>
      </w:r>
      <w:r w:rsidRPr="00296D0D">
        <w:rPr>
          <w:rFonts w:ascii="仿宋_GB2312" w:eastAsia="仿宋_GB2312" w:hAnsi="方正小标宋简体" w:hint="eastAsia"/>
          <w:sz w:val="32"/>
        </w:rPr>
        <w:t>本计划所称“组织吸纳”包括：</w:t>
      </w:r>
    </w:p>
    <w:p w14:paraId="483B33F3"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lastRenderedPageBreak/>
        <w:t>（一）入选者托举期内免费成为托举全国学会的学生会员；</w:t>
      </w:r>
    </w:p>
    <w:p w14:paraId="2244CB5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（二）表现优秀的入选者可优先进入托举全国学会的相关专门委员会。</w:t>
      </w:r>
    </w:p>
    <w:p w14:paraId="4439AF2F"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第十五条 本计划所称“学术兼职”包括：</w:t>
      </w:r>
    </w:p>
    <w:p w14:paraId="74026B19"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（一）入选者在高水平学术会议、国内外学术组织担任兼职助理岗位；</w:t>
      </w:r>
    </w:p>
    <w:p w14:paraId="1BD393C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（二）入选者在学术期刊担任兼职编辑助理岗位。</w:t>
      </w:r>
    </w:p>
    <w:p w14:paraId="1ED9BA6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第十六条</w:t>
      </w:r>
      <w:r w:rsidRPr="00296D0D">
        <w:rPr>
          <w:rFonts w:ascii="仿宋_GB2312" w:eastAsia="仿宋_GB2312" w:hAnsi="Cambria" w:cs="Cambria"/>
          <w:sz w:val="32"/>
        </w:rPr>
        <w:t> </w:t>
      </w:r>
      <w:r w:rsidRPr="00296D0D">
        <w:rPr>
          <w:rFonts w:ascii="仿宋_GB2312" w:eastAsia="仿宋_GB2312" w:hAnsi="方正小标宋简体" w:hint="eastAsia"/>
          <w:sz w:val="32"/>
        </w:rPr>
        <w:t>中国科协按照累计不超过人民币4万元的资助标准为入选者提供学术资助。学术资助主要用于入选者参加高水平学术会议、发表高水平学术论文和开展出国（境）交流访学，按“包干制”定额方式，由中国科协统一拨付至入选者导师团队的科研账户。</w:t>
      </w:r>
    </w:p>
    <w:p w14:paraId="21CFB05F"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（一）参加高水平学术会议的资助标准：对参加全国学会举办的重要学术会议进行资助，每参加1场国（境）</w:t>
      </w:r>
      <w:proofErr w:type="gramStart"/>
      <w:r w:rsidRPr="00296D0D">
        <w:rPr>
          <w:rFonts w:ascii="仿宋_GB2312" w:eastAsia="仿宋_GB2312" w:hAnsi="方正小标宋简体" w:hint="eastAsia"/>
          <w:sz w:val="32"/>
        </w:rPr>
        <w:t>外学术</w:t>
      </w:r>
      <w:proofErr w:type="gramEnd"/>
      <w:r w:rsidRPr="00296D0D">
        <w:rPr>
          <w:rFonts w:ascii="仿宋_GB2312" w:eastAsia="仿宋_GB2312" w:hAnsi="方正小标宋简体" w:hint="eastAsia"/>
          <w:sz w:val="32"/>
        </w:rPr>
        <w:t>会议定额资助人民币1万元，每参加1场国（境）</w:t>
      </w:r>
      <w:proofErr w:type="gramStart"/>
      <w:r w:rsidRPr="00296D0D">
        <w:rPr>
          <w:rFonts w:ascii="仿宋_GB2312" w:eastAsia="仿宋_GB2312" w:hAnsi="方正小标宋简体" w:hint="eastAsia"/>
          <w:sz w:val="32"/>
        </w:rPr>
        <w:t>内学术</w:t>
      </w:r>
      <w:proofErr w:type="gramEnd"/>
      <w:r w:rsidRPr="00296D0D">
        <w:rPr>
          <w:rFonts w:ascii="仿宋_GB2312" w:eastAsia="仿宋_GB2312" w:hAnsi="方正小标宋简体" w:hint="eastAsia"/>
          <w:sz w:val="32"/>
        </w:rPr>
        <w:t>会议定额资助人民币0.5万元。</w:t>
      </w:r>
    </w:p>
    <w:p w14:paraId="37ADE88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（二）发表高水平学术论文的资助标准：对以第一作者（</w:t>
      </w:r>
      <w:proofErr w:type="gramStart"/>
      <w:r w:rsidRPr="00296D0D">
        <w:rPr>
          <w:rFonts w:ascii="仿宋_GB2312" w:eastAsia="仿宋_GB2312" w:hAnsi="方正小标宋简体" w:hint="eastAsia"/>
          <w:sz w:val="32"/>
        </w:rPr>
        <w:t>含共同</w:t>
      </w:r>
      <w:proofErr w:type="gramEnd"/>
      <w:r w:rsidRPr="00296D0D">
        <w:rPr>
          <w:rFonts w:ascii="仿宋_GB2312" w:eastAsia="仿宋_GB2312" w:hAnsi="方正小标宋简体" w:hint="eastAsia"/>
          <w:sz w:val="32"/>
        </w:rPr>
        <w:t>第一作者）身份，在“中国科技期刊卓越行动计划”入选期刊（以下简称卓越期刊）或中国科协高质量科技期刊分级目录T1区、T2区的期刊上发表论文进行资助。在卓越期刊或T1区期刊上每发表1篇论文定额资助人民币1万元，在T2区期刊上每发表1篇论文定额资助人民币0.5万元。当资助次数达2次及以上时，须至少有1篇高水平论文发表</w:t>
      </w:r>
      <w:r w:rsidRPr="00296D0D">
        <w:rPr>
          <w:rFonts w:ascii="仿宋_GB2312" w:eastAsia="仿宋_GB2312" w:hAnsi="方正小标宋简体" w:hint="eastAsia"/>
          <w:sz w:val="32"/>
        </w:rPr>
        <w:lastRenderedPageBreak/>
        <w:t>在中国期刊上。</w:t>
      </w:r>
    </w:p>
    <w:p w14:paraId="25BE6FD7"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开展出国（境）交流访学的资助标准：对赴国（境）外一流大学和科研机构开展交流访学进行资助。出国（境）交流访学须取得导师同意并经所在高校批准。对开展一个月（含）以内的交流访学，每次定额资助人民币1万元；对开展一个月以上、三个月（含）以内的交流访学，每次定额资助人民币1.5万元；对开展三个月以上的交流访学，每次定额资助人民币2万元。</w:t>
      </w:r>
    </w:p>
    <w:p w14:paraId="15D55B0F"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第五章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资金来源及管理</w:t>
      </w:r>
    </w:p>
    <w:p w14:paraId="3512FAA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第十七条 本计划的支持资金分为财政资金和社会资金两类。财政资金按照《中国科协财政项目管理办法（修订）》进行管理；社会资金由中国科技发展基金会负责向社会公众筹集并管理。</w:t>
      </w:r>
    </w:p>
    <w:p w14:paraId="3426DF5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第十八条</w:t>
      </w:r>
      <w:r w:rsidRPr="00296D0D">
        <w:rPr>
          <w:rFonts w:ascii="仿宋_GB2312" w:eastAsia="仿宋_GB2312" w:hAnsi="Cambria" w:cs="Cambria"/>
          <w:sz w:val="32"/>
        </w:rPr>
        <w:t> </w:t>
      </w:r>
      <w:r w:rsidRPr="00296D0D">
        <w:rPr>
          <w:rFonts w:ascii="仿宋_GB2312" w:eastAsia="仿宋_GB2312" w:hAnsi="方正小标宋简体" w:hint="eastAsia"/>
          <w:sz w:val="32"/>
        </w:rPr>
        <w:t>中国科技发展基金会依照《中华人民共和国慈善法》《中华人民共和国公益事业捐赠法》《基金会管理条例》等法律法规和《中国科技发展基金会章程》等制度机制，对社会筹集资金进行严格、规范管理。</w:t>
      </w:r>
    </w:p>
    <w:p w14:paraId="5251E99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第十九条 本计划的支持资金实行专款专用。</w:t>
      </w:r>
    </w:p>
    <w:p w14:paraId="2B7A0990"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第六章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主体责任</w:t>
      </w:r>
    </w:p>
    <w:p w14:paraId="03CDA166"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第二十条</w:t>
      </w:r>
      <w:r w:rsidRPr="00296D0D">
        <w:rPr>
          <w:rFonts w:ascii="仿宋_GB2312" w:eastAsia="仿宋_GB2312" w:hAnsi="Cambria" w:cs="Cambria"/>
          <w:sz w:val="32"/>
        </w:rPr>
        <w:t> </w:t>
      </w:r>
      <w:r w:rsidRPr="00296D0D">
        <w:rPr>
          <w:rFonts w:ascii="仿宋_GB2312" w:eastAsia="仿宋_GB2312" w:hAnsi="方正小标宋简体" w:hint="eastAsia"/>
          <w:sz w:val="32"/>
        </w:rPr>
        <w:t>参与本计划的入选者应当承担以下责任：</w:t>
      </w:r>
    </w:p>
    <w:p w14:paraId="02B56F7E"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（一）积极参加中国科协年会、世界青年科学家峰会、世界科技与发展论坛、世界公众科学素质促进大会等重大活动；</w:t>
      </w:r>
    </w:p>
    <w:p w14:paraId="0582F969"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（二）积极参加全国学会组织的学术沙龙、产学研合作</w:t>
      </w:r>
      <w:r w:rsidRPr="00296D0D">
        <w:rPr>
          <w:rFonts w:ascii="仿宋_GB2312" w:eastAsia="仿宋_GB2312" w:hAnsi="方正小标宋简体" w:hint="eastAsia"/>
          <w:sz w:val="32"/>
        </w:rPr>
        <w:lastRenderedPageBreak/>
        <w:t>对接、建言献策研讨、科普宣讲等各类学术会议、论坛、活动，积极开展面向公众的科学普及、志愿服务等工作；</w:t>
      </w:r>
    </w:p>
    <w:p w14:paraId="0CA6F35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（三）托举期内，在中国青年科技论坛上作报告不少于1次；</w:t>
      </w:r>
    </w:p>
    <w:p w14:paraId="7BD0F713"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（四）托举期满后提交个人学术成长总结报告，对托举期内自身学术能力提升、学术视野拓展、学术成果突破等进行深入总结；</w:t>
      </w:r>
    </w:p>
    <w:p w14:paraId="1AA39F99"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（五）托举期满后申请加入全国学会，成为全国学会会员；</w:t>
      </w:r>
    </w:p>
    <w:p w14:paraId="122E81B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（六）积极回馈社会，有能力时主动帮助其他有需要的青年科技工作者。</w:t>
      </w:r>
    </w:p>
    <w:p w14:paraId="1D33B1E9"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第二十一条 参与本计划的高校科协应当承担以下责任：</w:t>
      </w:r>
    </w:p>
    <w:p w14:paraId="633CFC5A"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（一）在本院校公布本计划信息，广泛宣传科协组织面向青年科技人才的相关服务；</w:t>
      </w:r>
    </w:p>
    <w:p w14:paraId="35A9F83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（二）按要求完成候选人的推荐工作，负责对候选人的申请条件进行审核；</w:t>
      </w:r>
    </w:p>
    <w:p w14:paraId="54A32E1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（三）认真做好日常管理，面向入选者开展联系服务工作，定期跟踪了解入选</w:t>
      </w:r>
      <w:proofErr w:type="gramStart"/>
      <w:r w:rsidRPr="00296D0D">
        <w:rPr>
          <w:rFonts w:ascii="仿宋_GB2312" w:eastAsia="仿宋_GB2312" w:hAnsi="方正小标宋简体" w:hint="eastAsia"/>
          <w:sz w:val="32"/>
        </w:rPr>
        <w:t>者学术</w:t>
      </w:r>
      <w:proofErr w:type="gramEnd"/>
      <w:r w:rsidRPr="00296D0D">
        <w:rPr>
          <w:rFonts w:ascii="仿宋_GB2312" w:eastAsia="仿宋_GB2312" w:hAnsi="方正小标宋简体" w:hint="eastAsia"/>
          <w:sz w:val="32"/>
        </w:rPr>
        <w:t>成长情况，按要求记录入选者开展学术交流、获得学术培养、取得学术成果等学术成长信息；</w:t>
      </w:r>
    </w:p>
    <w:p w14:paraId="132B19D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（四）为入选者提供相关托举服务，包括但不限于为入选者提供参加学术沙龙、产学研合作对接、建言献策研讨、科普宣讲等各类学术会议、论坛、活动的机会；</w:t>
      </w:r>
    </w:p>
    <w:p w14:paraId="778B3ADF"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（五）督促入选者履行义务。</w:t>
      </w:r>
    </w:p>
    <w:p w14:paraId="335E813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lastRenderedPageBreak/>
        <w:t>第二十二条 参与本计划的省级科协应当承担以下责任：</w:t>
      </w:r>
    </w:p>
    <w:p w14:paraId="4B8ED1C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（一）根据本办法制定本地区青年人才托举工程博士生专项计划实施细则；</w:t>
      </w:r>
    </w:p>
    <w:p w14:paraId="41136443"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（二）落实好本地区高校科协推荐名额分配工作，做好复审、汇总上报等工作；</w:t>
      </w:r>
    </w:p>
    <w:p w14:paraId="1FFA406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（三）及时跟踪了解本地区入选者的学术成长信息；</w:t>
      </w:r>
    </w:p>
    <w:p w14:paraId="5E86402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（四）为入选者提供相关托举服务，包括但不限于为入选者提供参加学术沙龙、产学研合作对接、建言献策研讨、科普宣讲等各类学术会议、论坛、活动的机会。</w:t>
      </w:r>
    </w:p>
    <w:p w14:paraId="5F581EF6"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第二十三条 参与本计划的全国学会应当承担以下责任：</w:t>
      </w:r>
    </w:p>
    <w:p w14:paraId="52A8BACD"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（一）做好入选者托举服务相关管理工作，持续为入选者提供学术关怀、引导和托举相关服务；</w:t>
      </w:r>
    </w:p>
    <w:p w14:paraId="2E1338D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（二）为入选者提供托举期内免费入会通道；</w:t>
      </w:r>
    </w:p>
    <w:p w14:paraId="32787F4D"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（三）为入选者提供高水平学术会议、国内外学术组织的兼职助理岗位；</w:t>
      </w:r>
    </w:p>
    <w:p w14:paraId="53B875BA"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（四）为入选者提供学术期刊兼职编辑助理岗位；</w:t>
      </w:r>
    </w:p>
    <w:p w14:paraId="668948B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（五）为入选者提供其他托举服务，包括但不限于为入选者提供参加学术沙龙、产学研合作对接、建言献策研讨、科普宣讲等各类学术会议、论坛、活动的机会。</w:t>
      </w:r>
    </w:p>
    <w:p w14:paraId="3BB7A71E"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第二十四条</w:t>
      </w:r>
      <w:r w:rsidRPr="00296D0D">
        <w:rPr>
          <w:rFonts w:ascii="仿宋_GB2312" w:eastAsia="仿宋_GB2312" w:hAnsi="Cambria" w:cs="Cambria"/>
          <w:sz w:val="32"/>
        </w:rPr>
        <w:t> </w:t>
      </w:r>
      <w:r w:rsidRPr="00296D0D">
        <w:rPr>
          <w:rFonts w:ascii="仿宋_GB2312" w:eastAsia="仿宋_GB2312" w:hAnsi="方正小标宋简体" w:hint="eastAsia"/>
          <w:sz w:val="32"/>
        </w:rPr>
        <w:t>中国科协相关管理部门及中国科技发展基金会应当承担以下责任：</w:t>
      </w:r>
    </w:p>
    <w:p w14:paraId="0F92EF6F"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（一）具体负责本计划的总体设计、组织实施、资金管理和学术资助等工作；</w:t>
      </w:r>
    </w:p>
    <w:p w14:paraId="12F83E62"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（二）日常指导全国学会、省级科协、高校科协实施本</w:t>
      </w:r>
      <w:r w:rsidRPr="00296D0D">
        <w:rPr>
          <w:rFonts w:ascii="仿宋_GB2312" w:eastAsia="仿宋_GB2312" w:hAnsi="方正小标宋简体" w:hint="eastAsia"/>
          <w:sz w:val="32"/>
        </w:rPr>
        <w:lastRenderedPageBreak/>
        <w:t>计划；</w:t>
      </w:r>
    </w:p>
    <w:p w14:paraId="587DECE6"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（三）按照学术资助范围，制定并公布全国学会举办的高水平学术会议清单、“中国科技期刊卓越行动计划”入选期刊和中国科协高质量科技期刊分级目录T1、T2区期刊列表；</w:t>
      </w:r>
    </w:p>
    <w:p w14:paraId="71F60F57"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（四）按照资助标准，统一拨付学术资助经费至入选者导师团队的科研账户；</w:t>
      </w:r>
    </w:p>
    <w:p w14:paraId="07B76A0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（五）筹集社会资助经费，建立社会资助经费财务管理与使用体系。</w:t>
      </w:r>
    </w:p>
    <w:p w14:paraId="226A6355"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第七章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管理与监督</w:t>
      </w:r>
    </w:p>
    <w:p w14:paraId="66718BD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第二十五条 推荐上报、审核管理。</w:t>
      </w:r>
    </w:p>
    <w:p w14:paraId="2D0EC0C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高校科协、省级科协应当按照遴选条件，本着公平、公正、公开的原则推荐候选人，做好材料审核等工作，对上报信息的真实性、准确性负责。入选者在托举期内出现毕业、休学、退学等学籍信息变化或其他有关情况的，高校科协应及时通过省级科协向中国科协报告。</w:t>
      </w:r>
    </w:p>
    <w:p w14:paraId="2A055314"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第二十六条</w:t>
      </w:r>
      <w:r w:rsidRPr="00296D0D">
        <w:rPr>
          <w:rFonts w:ascii="仿宋_GB2312" w:eastAsia="仿宋_GB2312" w:hAnsi="Cambria" w:cs="Cambria"/>
          <w:sz w:val="32"/>
        </w:rPr>
        <w:t> </w:t>
      </w:r>
      <w:r w:rsidRPr="00296D0D">
        <w:rPr>
          <w:rFonts w:ascii="仿宋_GB2312" w:eastAsia="仿宋_GB2312" w:hAnsi="方正小标宋简体" w:hint="eastAsia"/>
          <w:sz w:val="32"/>
        </w:rPr>
        <w:t>入选者在托举期间出现以下情形之一，终止托举服务：</w:t>
      </w:r>
    </w:p>
    <w:p w14:paraId="2950EB20"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（一）</w:t>
      </w:r>
      <w:r w:rsidRPr="00296D0D">
        <w:rPr>
          <w:rFonts w:ascii="仿宋_GB2312" w:eastAsia="仿宋_GB2312" w:hAnsi="Cambria" w:cs="Cambria"/>
          <w:sz w:val="32"/>
        </w:rPr>
        <w:t> </w:t>
      </w:r>
      <w:r w:rsidRPr="00296D0D">
        <w:rPr>
          <w:rFonts w:ascii="仿宋_GB2312" w:eastAsia="仿宋_GB2312" w:hAnsi="方正小标宋简体" w:hint="eastAsia"/>
          <w:sz w:val="32"/>
        </w:rPr>
        <w:t>毕业；</w:t>
      </w:r>
    </w:p>
    <w:p w14:paraId="205901B2"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（二）</w:t>
      </w:r>
      <w:r w:rsidRPr="00296D0D">
        <w:rPr>
          <w:rFonts w:ascii="仿宋_GB2312" w:eastAsia="仿宋_GB2312" w:hAnsi="Cambria" w:cs="Cambria"/>
          <w:sz w:val="32"/>
        </w:rPr>
        <w:t> </w:t>
      </w:r>
      <w:r w:rsidRPr="00296D0D">
        <w:rPr>
          <w:rFonts w:ascii="仿宋_GB2312" w:eastAsia="仿宋_GB2312" w:hAnsi="方正小标宋简体" w:hint="eastAsia"/>
          <w:sz w:val="32"/>
        </w:rPr>
        <w:t>休学、退学；</w:t>
      </w:r>
    </w:p>
    <w:p w14:paraId="11A2BFB1"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（三）经查实，存在学术造假、学术剽窃、学术侵权、不守科研伦理规范等学术不端行为；</w:t>
      </w:r>
    </w:p>
    <w:p w14:paraId="2BA09B5B"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（四）有违法违纪行为，造成严重不良影响的；</w:t>
      </w:r>
    </w:p>
    <w:p w14:paraId="4B74B26C"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（五）其他需要终止托举的原因。</w:t>
      </w:r>
    </w:p>
    <w:p w14:paraId="56EDB432"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第二十七条</w:t>
      </w:r>
      <w:r w:rsidRPr="00296D0D">
        <w:rPr>
          <w:rFonts w:ascii="仿宋_GB2312" w:eastAsia="仿宋_GB2312" w:hAnsi="Cambria" w:cs="Cambria"/>
          <w:sz w:val="32"/>
        </w:rPr>
        <w:t> </w:t>
      </w:r>
      <w:r w:rsidRPr="00296D0D">
        <w:rPr>
          <w:rFonts w:ascii="仿宋_GB2312" w:eastAsia="仿宋_GB2312" w:hAnsi="方正小标宋简体" w:hint="eastAsia"/>
          <w:sz w:val="32"/>
        </w:rPr>
        <w:t>托举期满，全国学会和高校科协对入选者成</w:t>
      </w:r>
      <w:r w:rsidRPr="00296D0D">
        <w:rPr>
          <w:rFonts w:ascii="仿宋_GB2312" w:eastAsia="仿宋_GB2312" w:hAnsi="方正小标宋简体" w:hint="eastAsia"/>
          <w:sz w:val="32"/>
        </w:rPr>
        <w:lastRenderedPageBreak/>
        <w:t>长情况进行评价；中国科协对全国学会</w:t>
      </w:r>
      <w:proofErr w:type="gramStart"/>
      <w:r w:rsidRPr="00296D0D">
        <w:rPr>
          <w:rFonts w:ascii="仿宋_GB2312" w:eastAsia="仿宋_GB2312" w:hAnsi="方正小标宋简体" w:hint="eastAsia"/>
          <w:sz w:val="32"/>
        </w:rPr>
        <w:t>托举成效</w:t>
      </w:r>
      <w:proofErr w:type="gramEnd"/>
      <w:r w:rsidRPr="00296D0D">
        <w:rPr>
          <w:rFonts w:ascii="仿宋_GB2312" w:eastAsia="仿宋_GB2312" w:hAnsi="方正小标宋简体" w:hint="eastAsia"/>
          <w:sz w:val="32"/>
        </w:rPr>
        <w:t>和省级科协推选情况进行评价。</w:t>
      </w:r>
    </w:p>
    <w:p w14:paraId="7826CFA2" w14:textId="77777777" w:rsidR="00296D0D" w:rsidRPr="00296D0D" w:rsidRDefault="00296D0D" w:rsidP="001639AD">
      <w:pPr>
        <w:spacing w:after="0" w:line="560" w:lineRule="exact"/>
        <w:ind w:firstLineChars="200" w:firstLine="643"/>
        <w:jc w:val="both"/>
        <w:rPr>
          <w:rFonts w:ascii="仿宋_GB2312" w:eastAsia="仿宋_GB2312" w:hAnsi="方正小标宋简体" w:hint="eastAsia"/>
          <w:b/>
          <w:bCs/>
          <w:sz w:val="32"/>
        </w:rPr>
      </w:pPr>
      <w:r w:rsidRPr="00296D0D">
        <w:rPr>
          <w:rFonts w:ascii="仿宋_GB2312" w:eastAsia="仿宋_GB2312" w:hAnsi="方正小标宋简体" w:hint="eastAsia"/>
          <w:b/>
          <w:bCs/>
          <w:sz w:val="32"/>
        </w:rPr>
        <w:t xml:space="preserve">第八章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 xml:space="preserve">附 </w:t>
      </w:r>
      <w:r w:rsidRPr="00296D0D">
        <w:rPr>
          <w:rFonts w:ascii="仿宋_GB2312" w:eastAsia="仿宋_GB2312" w:hAnsi="Cambria" w:cs="Cambria"/>
          <w:b/>
          <w:bCs/>
          <w:sz w:val="32"/>
        </w:rPr>
        <w:t> </w:t>
      </w:r>
      <w:r w:rsidRPr="00296D0D">
        <w:rPr>
          <w:rFonts w:ascii="仿宋_GB2312" w:eastAsia="仿宋_GB2312" w:hAnsi="方正小标宋简体" w:hint="eastAsia"/>
          <w:b/>
          <w:bCs/>
          <w:sz w:val="32"/>
        </w:rPr>
        <w:t>则</w:t>
      </w:r>
    </w:p>
    <w:p w14:paraId="03F86228"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第二十八条</w:t>
      </w:r>
      <w:r w:rsidRPr="00296D0D">
        <w:rPr>
          <w:rFonts w:ascii="仿宋_GB2312" w:eastAsia="仿宋_GB2312" w:hAnsi="Cambria" w:cs="Cambria"/>
          <w:sz w:val="32"/>
        </w:rPr>
        <w:t> </w:t>
      </w:r>
      <w:r w:rsidRPr="00296D0D">
        <w:rPr>
          <w:rFonts w:ascii="仿宋_GB2312" w:eastAsia="仿宋_GB2312" w:hAnsi="方正小标宋简体" w:hint="eastAsia"/>
          <w:sz w:val="32"/>
        </w:rPr>
        <w:t>本办法自印发之日起试行。</w:t>
      </w:r>
    </w:p>
    <w:p w14:paraId="6ADA4603" w14:textId="77777777" w:rsidR="00296D0D" w:rsidRPr="00296D0D" w:rsidRDefault="00296D0D" w:rsidP="001639AD">
      <w:pPr>
        <w:spacing w:after="0" w:line="560" w:lineRule="exact"/>
        <w:ind w:firstLineChars="200" w:firstLine="640"/>
        <w:jc w:val="both"/>
        <w:rPr>
          <w:rFonts w:ascii="仿宋_GB2312" w:eastAsia="仿宋_GB2312" w:hAnsi="方正小标宋简体" w:hint="eastAsia"/>
          <w:sz w:val="32"/>
        </w:rPr>
      </w:pPr>
      <w:r w:rsidRPr="00296D0D">
        <w:rPr>
          <w:rFonts w:ascii="仿宋_GB2312" w:eastAsia="仿宋_GB2312" w:hAnsi="方正小标宋简体" w:hint="eastAsia"/>
          <w:sz w:val="32"/>
        </w:rPr>
        <w:t>第二十九条</w:t>
      </w:r>
      <w:r w:rsidRPr="00296D0D">
        <w:rPr>
          <w:rFonts w:ascii="仿宋_GB2312" w:eastAsia="仿宋_GB2312" w:hAnsi="Cambria" w:cs="Cambria"/>
          <w:sz w:val="32"/>
        </w:rPr>
        <w:t> </w:t>
      </w:r>
      <w:r w:rsidRPr="00296D0D">
        <w:rPr>
          <w:rFonts w:ascii="仿宋_GB2312" w:eastAsia="仿宋_GB2312" w:hAnsi="方正小标宋简体" w:hint="eastAsia"/>
          <w:sz w:val="32"/>
        </w:rPr>
        <w:t>本办法的解释权、修订权归中国科协组织人事部。</w:t>
      </w:r>
    </w:p>
    <w:p w14:paraId="39479FFB" w14:textId="77777777" w:rsidR="00296D0D" w:rsidRPr="00296D0D" w:rsidRDefault="00296D0D" w:rsidP="00296D0D">
      <w:pPr>
        <w:rPr>
          <w:rFonts w:ascii="仿宋_GB2312" w:eastAsia="仿宋_GB2312" w:hAnsi="方正小标宋简体" w:hint="eastAsia"/>
          <w:sz w:val="32"/>
        </w:rPr>
      </w:pPr>
    </w:p>
    <w:sectPr w:rsidR="00296D0D" w:rsidRPr="00296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E63C" w14:textId="77777777" w:rsidR="00675B82" w:rsidRDefault="00675B82" w:rsidP="00296D0D">
      <w:pPr>
        <w:spacing w:after="0" w:line="240" w:lineRule="auto"/>
        <w:rPr>
          <w:rFonts w:hint="eastAsia"/>
        </w:rPr>
      </w:pPr>
      <w:r>
        <w:separator/>
      </w:r>
    </w:p>
  </w:endnote>
  <w:endnote w:type="continuationSeparator" w:id="0">
    <w:p w14:paraId="573CFF59" w14:textId="77777777" w:rsidR="00675B82" w:rsidRDefault="00675B82" w:rsidP="00296D0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2C5C" w14:textId="77777777" w:rsidR="00675B82" w:rsidRDefault="00675B82" w:rsidP="00296D0D">
      <w:pPr>
        <w:spacing w:after="0" w:line="240" w:lineRule="auto"/>
        <w:rPr>
          <w:rFonts w:hint="eastAsia"/>
        </w:rPr>
      </w:pPr>
      <w:r>
        <w:separator/>
      </w:r>
    </w:p>
  </w:footnote>
  <w:footnote w:type="continuationSeparator" w:id="0">
    <w:p w14:paraId="3128E692" w14:textId="77777777" w:rsidR="00675B82" w:rsidRDefault="00675B82" w:rsidP="00296D0D">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09"/>
    <w:rsid w:val="000A3809"/>
    <w:rsid w:val="00137C46"/>
    <w:rsid w:val="001639AD"/>
    <w:rsid w:val="002174CF"/>
    <w:rsid w:val="00296D0D"/>
    <w:rsid w:val="00675B82"/>
    <w:rsid w:val="00B92D08"/>
    <w:rsid w:val="00FB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A845D"/>
  <w15:chartTrackingRefBased/>
  <w15:docId w15:val="{396E6E48-C5B0-49AB-BE3E-46FA1446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80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380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380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380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380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A380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3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80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380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380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3809"/>
    <w:rPr>
      <w:rFonts w:cstheme="majorBidi"/>
      <w:color w:val="0F4761" w:themeColor="accent1" w:themeShade="BF"/>
      <w:sz w:val="28"/>
      <w:szCs w:val="28"/>
    </w:rPr>
  </w:style>
  <w:style w:type="character" w:customStyle="1" w:styleId="50">
    <w:name w:val="标题 5 字符"/>
    <w:basedOn w:val="a0"/>
    <w:link w:val="5"/>
    <w:uiPriority w:val="9"/>
    <w:semiHidden/>
    <w:rsid w:val="000A3809"/>
    <w:rPr>
      <w:rFonts w:cstheme="majorBidi"/>
      <w:color w:val="0F4761" w:themeColor="accent1" w:themeShade="BF"/>
      <w:sz w:val="24"/>
    </w:rPr>
  </w:style>
  <w:style w:type="character" w:customStyle="1" w:styleId="60">
    <w:name w:val="标题 6 字符"/>
    <w:basedOn w:val="a0"/>
    <w:link w:val="6"/>
    <w:uiPriority w:val="9"/>
    <w:semiHidden/>
    <w:rsid w:val="000A3809"/>
    <w:rPr>
      <w:rFonts w:cstheme="majorBidi"/>
      <w:b/>
      <w:bCs/>
      <w:color w:val="0F4761" w:themeColor="accent1" w:themeShade="BF"/>
    </w:rPr>
  </w:style>
  <w:style w:type="character" w:customStyle="1" w:styleId="70">
    <w:name w:val="标题 7 字符"/>
    <w:basedOn w:val="a0"/>
    <w:link w:val="7"/>
    <w:uiPriority w:val="9"/>
    <w:semiHidden/>
    <w:rsid w:val="000A3809"/>
    <w:rPr>
      <w:rFonts w:cstheme="majorBidi"/>
      <w:b/>
      <w:bCs/>
      <w:color w:val="595959" w:themeColor="text1" w:themeTint="A6"/>
    </w:rPr>
  </w:style>
  <w:style w:type="character" w:customStyle="1" w:styleId="80">
    <w:name w:val="标题 8 字符"/>
    <w:basedOn w:val="a0"/>
    <w:link w:val="8"/>
    <w:uiPriority w:val="9"/>
    <w:semiHidden/>
    <w:rsid w:val="000A3809"/>
    <w:rPr>
      <w:rFonts w:cstheme="majorBidi"/>
      <w:color w:val="595959" w:themeColor="text1" w:themeTint="A6"/>
    </w:rPr>
  </w:style>
  <w:style w:type="character" w:customStyle="1" w:styleId="90">
    <w:name w:val="标题 9 字符"/>
    <w:basedOn w:val="a0"/>
    <w:link w:val="9"/>
    <w:uiPriority w:val="9"/>
    <w:semiHidden/>
    <w:rsid w:val="000A3809"/>
    <w:rPr>
      <w:rFonts w:eastAsiaTheme="majorEastAsia" w:cstheme="majorBidi"/>
      <w:color w:val="595959" w:themeColor="text1" w:themeTint="A6"/>
    </w:rPr>
  </w:style>
  <w:style w:type="paragraph" w:styleId="a3">
    <w:name w:val="Title"/>
    <w:basedOn w:val="a"/>
    <w:next w:val="a"/>
    <w:link w:val="a4"/>
    <w:uiPriority w:val="10"/>
    <w:qFormat/>
    <w:rsid w:val="000A3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809"/>
    <w:pPr>
      <w:spacing w:before="160"/>
      <w:jc w:val="center"/>
    </w:pPr>
    <w:rPr>
      <w:i/>
      <w:iCs/>
      <w:color w:val="404040" w:themeColor="text1" w:themeTint="BF"/>
    </w:rPr>
  </w:style>
  <w:style w:type="character" w:customStyle="1" w:styleId="a8">
    <w:name w:val="引用 字符"/>
    <w:basedOn w:val="a0"/>
    <w:link w:val="a7"/>
    <w:uiPriority w:val="29"/>
    <w:rsid w:val="000A3809"/>
    <w:rPr>
      <w:i/>
      <w:iCs/>
      <w:color w:val="404040" w:themeColor="text1" w:themeTint="BF"/>
    </w:rPr>
  </w:style>
  <w:style w:type="paragraph" w:styleId="a9">
    <w:name w:val="List Paragraph"/>
    <w:basedOn w:val="a"/>
    <w:uiPriority w:val="34"/>
    <w:qFormat/>
    <w:rsid w:val="000A3809"/>
    <w:pPr>
      <w:ind w:left="720"/>
      <w:contextualSpacing/>
    </w:pPr>
  </w:style>
  <w:style w:type="character" w:styleId="aa">
    <w:name w:val="Intense Emphasis"/>
    <w:basedOn w:val="a0"/>
    <w:uiPriority w:val="21"/>
    <w:qFormat/>
    <w:rsid w:val="000A3809"/>
    <w:rPr>
      <w:i/>
      <w:iCs/>
      <w:color w:val="0F4761" w:themeColor="accent1" w:themeShade="BF"/>
    </w:rPr>
  </w:style>
  <w:style w:type="paragraph" w:styleId="ab">
    <w:name w:val="Intense Quote"/>
    <w:basedOn w:val="a"/>
    <w:next w:val="a"/>
    <w:link w:val="ac"/>
    <w:uiPriority w:val="30"/>
    <w:qFormat/>
    <w:rsid w:val="000A3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3809"/>
    <w:rPr>
      <w:i/>
      <w:iCs/>
      <w:color w:val="0F4761" w:themeColor="accent1" w:themeShade="BF"/>
    </w:rPr>
  </w:style>
  <w:style w:type="character" w:styleId="ad">
    <w:name w:val="Intense Reference"/>
    <w:basedOn w:val="a0"/>
    <w:uiPriority w:val="32"/>
    <w:qFormat/>
    <w:rsid w:val="000A3809"/>
    <w:rPr>
      <w:b/>
      <w:bCs/>
      <w:smallCaps/>
      <w:color w:val="0F4761" w:themeColor="accent1" w:themeShade="BF"/>
      <w:spacing w:val="5"/>
    </w:rPr>
  </w:style>
  <w:style w:type="paragraph" w:styleId="ae">
    <w:name w:val="header"/>
    <w:basedOn w:val="a"/>
    <w:link w:val="af"/>
    <w:uiPriority w:val="99"/>
    <w:unhideWhenUsed/>
    <w:rsid w:val="00296D0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96D0D"/>
    <w:rPr>
      <w:sz w:val="18"/>
      <w:szCs w:val="18"/>
    </w:rPr>
  </w:style>
  <w:style w:type="paragraph" w:styleId="af0">
    <w:name w:val="footer"/>
    <w:basedOn w:val="a"/>
    <w:link w:val="af1"/>
    <w:uiPriority w:val="99"/>
    <w:unhideWhenUsed/>
    <w:rsid w:val="00296D0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96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88260">
      <w:bodyDiv w:val="1"/>
      <w:marLeft w:val="0"/>
      <w:marRight w:val="0"/>
      <w:marTop w:val="0"/>
      <w:marBottom w:val="0"/>
      <w:divBdr>
        <w:top w:val="none" w:sz="0" w:space="0" w:color="auto"/>
        <w:left w:val="none" w:sz="0" w:space="0" w:color="auto"/>
        <w:bottom w:val="none" w:sz="0" w:space="0" w:color="auto"/>
        <w:right w:val="none" w:sz="0" w:space="0" w:color="auto"/>
      </w:divBdr>
    </w:div>
    <w:div w:id="460153893">
      <w:bodyDiv w:val="1"/>
      <w:marLeft w:val="0"/>
      <w:marRight w:val="0"/>
      <w:marTop w:val="0"/>
      <w:marBottom w:val="0"/>
      <w:divBdr>
        <w:top w:val="none" w:sz="0" w:space="0" w:color="auto"/>
        <w:left w:val="none" w:sz="0" w:space="0" w:color="auto"/>
        <w:bottom w:val="none" w:sz="0" w:space="0" w:color="auto"/>
        <w:right w:val="none" w:sz="0" w:space="0" w:color="auto"/>
      </w:divBdr>
    </w:div>
    <w:div w:id="483204316">
      <w:bodyDiv w:val="1"/>
      <w:marLeft w:val="0"/>
      <w:marRight w:val="0"/>
      <w:marTop w:val="0"/>
      <w:marBottom w:val="0"/>
      <w:divBdr>
        <w:top w:val="none" w:sz="0" w:space="0" w:color="auto"/>
        <w:left w:val="none" w:sz="0" w:space="0" w:color="auto"/>
        <w:bottom w:val="none" w:sz="0" w:space="0" w:color="auto"/>
        <w:right w:val="none" w:sz="0" w:space="0" w:color="auto"/>
      </w:divBdr>
    </w:div>
    <w:div w:id="663319030">
      <w:bodyDiv w:val="1"/>
      <w:marLeft w:val="0"/>
      <w:marRight w:val="0"/>
      <w:marTop w:val="0"/>
      <w:marBottom w:val="0"/>
      <w:divBdr>
        <w:top w:val="none" w:sz="0" w:space="0" w:color="auto"/>
        <w:left w:val="none" w:sz="0" w:space="0" w:color="auto"/>
        <w:bottom w:val="none" w:sz="0" w:space="0" w:color="auto"/>
        <w:right w:val="none" w:sz="0" w:space="0" w:color="auto"/>
      </w:divBdr>
    </w:div>
    <w:div w:id="827597037">
      <w:bodyDiv w:val="1"/>
      <w:marLeft w:val="0"/>
      <w:marRight w:val="0"/>
      <w:marTop w:val="0"/>
      <w:marBottom w:val="0"/>
      <w:divBdr>
        <w:top w:val="none" w:sz="0" w:space="0" w:color="auto"/>
        <w:left w:val="none" w:sz="0" w:space="0" w:color="auto"/>
        <w:bottom w:val="none" w:sz="0" w:space="0" w:color="auto"/>
        <w:right w:val="none" w:sz="0" w:space="0" w:color="auto"/>
      </w:divBdr>
    </w:div>
    <w:div w:id="976450194">
      <w:bodyDiv w:val="1"/>
      <w:marLeft w:val="0"/>
      <w:marRight w:val="0"/>
      <w:marTop w:val="0"/>
      <w:marBottom w:val="0"/>
      <w:divBdr>
        <w:top w:val="none" w:sz="0" w:space="0" w:color="auto"/>
        <w:left w:val="none" w:sz="0" w:space="0" w:color="auto"/>
        <w:bottom w:val="none" w:sz="0" w:space="0" w:color="auto"/>
        <w:right w:val="none" w:sz="0" w:space="0" w:color="auto"/>
      </w:divBdr>
    </w:div>
    <w:div w:id="1395814354">
      <w:bodyDiv w:val="1"/>
      <w:marLeft w:val="0"/>
      <w:marRight w:val="0"/>
      <w:marTop w:val="0"/>
      <w:marBottom w:val="0"/>
      <w:divBdr>
        <w:top w:val="none" w:sz="0" w:space="0" w:color="auto"/>
        <w:left w:val="none" w:sz="0" w:space="0" w:color="auto"/>
        <w:bottom w:val="none" w:sz="0" w:space="0" w:color="auto"/>
        <w:right w:val="none" w:sz="0" w:space="0" w:color="auto"/>
      </w:divBdr>
    </w:div>
    <w:div w:id="18920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杨晨</dc:creator>
  <cp:keywords/>
  <dc:description/>
  <cp:lastModifiedBy>杨晨</cp:lastModifiedBy>
  <cp:revision>3</cp:revision>
  <dcterms:created xsi:type="dcterms:W3CDTF">2024-09-20T07:51:00Z</dcterms:created>
  <dcterms:modified xsi:type="dcterms:W3CDTF">2024-09-20T08:03:00Z</dcterms:modified>
</cp:coreProperties>
</file>