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120" w:afterLines="50" w:line="500" w:lineRule="exact"/>
        <w:jc w:val="center"/>
        <w:rPr>
          <w:rFonts w:ascii="宋体" w:hAnsi="宋体" w:eastAsia="Arial Unicode MS"/>
          <w:b/>
          <w:sz w:val="44"/>
          <w:szCs w:val="44"/>
          <w:lang w:val="zh-TW" w:eastAsia="zh-TW"/>
        </w:rPr>
      </w:pPr>
    </w:p>
    <w:p>
      <w:pPr>
        <w:spacing w:after="120" w:afterLines="50" w:line="500" w:lineRule="exact"/>
        <w:jc w:val="center"/>
        <w:rPr>
          <w:rFonts w:cs="Arial Unicode MS" w:asciiTheme="minorEastAsia" w:hAnsiTheme="minorEastAsia" w:eastAsiaTheme="minorEastAsia"/>
          <w:b/>
          <w:sz w:val="44"/>
          <w:szCs w:val="44"/>
        </w:rPr>
      </w:pPr>
      <w:r>
        <w:rPr>
          <w:rStyle w:val="14"/>
          <w:rFonts w:hint="eastAsia" w:asciiTheme="minorEastAsia" w:hAnsiTheme="minorEastAsia" w:eastAsiaTheme="minorEastAsia"/>
          <w:b/>
          <w:sz w:val="44"/>
          <w:szCs w:val="44"/>
        </w:rPr>
        <w:t>深圳国际BT领袖峰会专业论坛</w:t>
      </w:r>
    </w:p>
    <w:p>
      <w:pPr>
        <w:spacing w:after="120" w:afterLines="50" w:line="500" w:lineRule="exact"/>
        <w:jc w:val="center"/>
        <w:rPr>
          <w:rFonts w:cs="华文宋体" w:asciiTheme="minorEastAsia" w:hAnsiTheme="minorEastAsia" w:eastAsiaTheme="minorEastAsia"/>
          <w:b/>
          <w:sz w:val="44"/>
          <w:szCs w:val="44"/>
        </w:rPr>
      </w:pPr>
      <w:r>
        <w:rPr>
          <w:rFonts w:hint="eastAsia" w:asciiTheme="minorEastAsia" w:hAnsiTheme="minorEastAsia" w:eastAsiaTheme="minorEastAsia"/>
          <w:b/>
          <w:kern w:val="0"/>
          <w:sz w:val="44"/>
          <w:szCs w:val="44"/>
          <w:lang w:val="zh-TW" w:eastAsia="zh-TW"/>
        </w:rPr>
        <w:t>创新技术产业化中间能力建设</w:t>
      </w:r>
    </w:p>
    <w:p>
      <w:pPr>
        <w:spacing w:after="120" w:afterLines="50" w:line="500" w:lineRule="exact"/>
        <w:jc w:val="center"/>
        <w:rPr>
          <w:rFonts w:ascii="仿宋" w:hAnsi="仿宋" w:eastAsia="仿宋" w:cs="华文宋体"/>
          <w:sz w:val="44"/>
          <w:szCs w:val="44"/>
        </w:rPr>
      </w:pPr>
    </w:p>
    <w:p>
      <w:pPr>
        <w:spacing w:after="120" w:afterLines="50" w:line="500" w:lineRule="exact"/>
        <w:ind w:left="307" w:right="118" w:hanging="305"/>
        <w:jc w:val="left"/>
        <w:rPr>
          <w:rFonts w:ascii="仿宋" w:hAnsi="仿宋" w:eastAsia="仿宋" w:cs="华文宋体"/>
          <w:sz w:val="30"/>
          <w:szCs w:val="30"/>
        </w:rPr>
      </w:pPr>
      <w:r>
        <w:rPr>
          <w:rFonts w:hint="eastAsia" w:ascii="仿宋" w:hAnsi="仿宋" w:eastAsia="仿宋"/>
          <w:sz w:val="30"/>
          <w:szCs w:val="30"/>
          <w:lang w:val="zh-TW" w:eastAsia="zh-TW"/>
        </w:rPr>
        <w:t>时    间：</w:t>
      </w:r>
      <w:r>
        <w:rPr>
          <w:rFonts w:ascii="仿宋" w:hAnsi="仿宋" w:eastAsia="仿宋"/>
          <w:sz w:val="30"/>
          <w:szCs w:val="30"/>
        </w:rPr>
        <w:t>2018</w:t>
      </w:r>
      <w:r>
        <w:rPr>
          <w:rFonts w:hint="eastAsia" w:ascii="仿宋" w:hAnsi="仿宋" w:eastAsia="仿宋"/>
          <w:sz w:val="30"/>
          <w:szCs w:val="30"/>
          <w:lang w:val="zh-TW" w:eastAsia="zh-TW"/>
        </w:rPr>
        <w:t>年</w:t>
      </w:r>
      <w:r>
        <w:rPr>
          <w:rFonts w:ascii="仿宋" w:hAnsi="仿宋" w:eastAsia="仿宋"/>
          <w:sz w:val="30"/>
          <w:szCs w:val="30"/>
        </w:rPr>
        <w:t>9</w:t>
      </w:r>
      <w:r>
        <w:rPr>
          <w:rFonts w:hint="eastAsia" w:ascii="仿宋" w:hAnsi="仿宋" w:eastAsia="仿宋"/>
          <w:sz w:val="30"/>
          <w:szCs w:val="30"/>
          <w:lang w:val="zh-TW" w:eastAsia="zh-TW"/>
        </w:rPr>
        <w:t>月</w:t>
      </w:r>
      <w:r>
        <w:rPr>
          <w:rFonts w:ascii="仿宋" w:hAnsi="仿宋" w:eastAsia="仿宋"/>
          <w:sz w:val="30"/>
          <w:szCs w:val="30"/>
        </w:rPr>
        <w:t>20</w:t>
      </w:r>
      <w:r>
        <w:rPr>
          <w:rFonts w:hint="eastAsia" w:ascii="仿宋" w:hAnsi="仿宋" w:eastAsia="仿宋"/>
          <w:sz w:val="30"/>
          <w:szCs w:val="30"/>
          <w:lang w:val="zh-TW" w:eastAsia="zh-TW"/>
        </w:rPr>
        <w:t>日（星期四）</w:t>
      </w:r>
      <w:r>
        <w:rPr>
          <w:rFonts w:ascii="仿宋" w:hAnsi="仿宋" w:eastAsia="仿宋"/>
          <w:sz w:val="30"/>
          <w:szCs w:val="30"/>
        </w:rPr>
        <w:t>14:00-17:40</w:t>
      </w:r>
    </w:p>
    <w:p>
      <w:pPr>
        <w:spacing w:after="120" w:afterLines="50" w:line="500" w:lineRule="exact"/>
        <w:rPr>
          <w:rFonts w:ascii="仿宋" w:hAnsi="仿宋" w:eastAsia="仿宋" w:cs="华文宋体"/>
          <w:sz w:val="30"/>
          <w:szCs w:val="30"/>
          <w:lang w:val="zh-TW" w:eastAsia="zh-TW"/>
        </w:rPr>
      </w:pPr>
      <w:r>
        <w:rPr>
          <w:rFonts w:hint="eastAsia" w:ascii="仿宋" w:hAnsi="仿宋" w:eastAsia="仿宋"/>
          <w:sz w:val="30"/>
          <w:szCs w:val="30"/>
          <w:lang w:val="zh-TW" w:eastAsia="zh-TW"/>
        </w:rPr>
        <w:t>地    点：深圳市会展中心六楼郁金香厅</w:t>
      </w:r>
    </w:p>
    <w:p>
      <w:pPr>
        <w:spacing w:after="120" w:afterLines="50" w:line="500" w:lineRule="exact"/>
        <w:rPr>
          <w:rFonts w:ascii="仿宋" w:hAnsi="仿宋" w:eastAsia="仿宋"/>
          <w:sz w:val="30"/>
          <w:szCs w:val="30"/>
          <w:lang w:val="zh-TW"/>
        </w:rPr>
      </w:pPr>
      <w:r>
        <w:rPr>
          <w:rFonts w:hint="eastAsia" w:ascii="仿宋" w:hAnsi="仿宋" w:eastAsia="仿宋"/>
          <w:sz w:val="30"/>
          <w:szCs w:val="30"/>
          <w:lang w:val="zh-TW"/>
        </w:rPr>
        <w:t>指导单位：深圳市人民政府</w:t>
      </w:r>
    </w:p>
    <w:p>
      <w:pPr>
        <w:spacing w:after="120" w:afterLines="50" w:line="500" w:lineRule="exact"/>
        <w:ind w:firstLine="1500" w:firstLineChars="500"/>
        <w:rPr>
          <w:rFonts w:ascii="仿宋" w:hAnsi="仿宋" w:eastAsia="仿宋"/>
          <w:sz w:val="30"/>
          <w:szCs w:val="30"/>
          <w:lang w:val="zh-TW" w:eastAsia="zh-TW"/>
        </w:rPr>
      </w:pPr>
      <w:r>
        <w:rPr>
          <w:rFonts w:hint="eastAsia" w:ascii="仿宋" w:hAnsi="仿宋" w:eastAsia="仿宋"/>
          <w:sz w:val="30"/>
          <w:szCs w:val="30"/>
          <w:lang w:val="zh-TW" w:eastAsia="zh-TW"/>
        </w:rPr>
        <w:t>科技部中国生物技术发展中心</w:t>
      </w:r>
    </w:p>
    <w:p>
      <w:pPr>
        <w:spacing w:after="120" w:afterLines="50" w:line="500" w:lineRule="exact"/>
        <w:ind w:firstLine="1500" w:firstLineChars="500"/>
        <w:rPr>
          <w:rFonts w:ascii="仿宋" w:hAnsi="仿宋" w:eastAsia="仿宋"/>
          <w:sz w:val="30"/>
          <w:szCs w:val="30"/>
          <w:lang w:val="zh-TW"/>
        </w:rPr>
      </w:pPr>
      <w:r>
        <w:rPr>
          <w:rFonts w:hint="eastAsia" w:ascii="仿宋" w:hAnsi="仿宋" w:eastAsia="仿宋"/>
          <w:sz w:val="30"/>
          <w:szCs w:val="30"/>
          <w:lang w:val="zh-TW"/>
        </w:rPr>
        <w:t>中国生物医学工程学会</w:t>
      </w:r>
    </w:p>
    <w:p>
      <w:pPr>
        <w:spacing w:after="120" w:afterLines="50" w:line="500" w:lineRule="exact"/>
        <w:ind w:firstLine="1500" w:firstLineChars="500"/>
        <w:rPr>
          <w:rFonts w:ascii="仿宋" w:hAnsi="仿宋" w:eastAsia="仿宋"/>
          <w:sz w:val="30"/>
          <w:szCs w:val="30"/>
          <w:lang w:val="zh-TW"/>
        </w:rPr>
      </w:pPr>
      <w:r>
        <w:rPr>
          <w:rFonts w:hint="eastAsia" w:ascii="仿宋" w:hAnsi="仿宋" w:eastAsia="仿宋"/>
          <w:sz w:val="30"/>
          <w:szCs w:val="30"/>
          <w:lang w:val="zh-TW"/>
        </w:rPr>
        <w:t>中国卫生信息与健康医疗大数据学会</w:t>
      </w:r>
    </w:p>
    <w:p>
      <w:pPr>
        <w:spacing w:after="120" w:afterLines="50" w:line="500" w:lineRule="exact"/>
        <w:ind w:firstLine="1500" w:firstLineChars="500"/>
        <w:rPr>
          <w:rFonts w:ascii="仿宋" w:hAnsi="仿宋" w:eastAsia="仿宋"/>
          <w:sz w:val="30"/>
          <w:szCs w:val="30"/>
          <w:lang w:val="zh-TW"/>
        </w:rPr>
      </w:pPr>
      <w:r>
        <w:rPr>
          <w:rFonts w:hint="eastAsia" w:ascii="仿宋" w:hAnsi="仿宋" w:eastAsia="仿宋"/>
          <w:sz w:val="30"/>
          <w:szCs w:val="30"/>
          <w:lang w:val="zh-TW"/>
        </w:rPr>
        <w:t>中国医药生物技术协会</w:t>
      </w:r>
    </w:p>
    <w:p>
      <w:pPr>
        <w:spacing w:after="120" w:afterLines="50" w:line="500" w:lineRule="exact"/>
        <w:ind w:left="1623" w:hanging="1623"/>
        <w:rPr>
          <w:rFonts w:ascii="仿宋" w:hAnsi="仿宋" w:eastAsia="仿宋" w:cs="华文宋体"/>
          <w:sz w:val="30"/>
          <w:szCs w:val="30"/>
          <w:lang w:val="zh-TW" w:eastAsia="zh-TW"/>
        </w:rPr>
      </w:pPr>
      <w:r>
        <w:rPr>
          <w:rFonts w:hint="eastAsia" w:ascii="仿宋" w:hAnsi="仿宋" w:eastAsia="仿宋"/>
          <w:sz w:val="30"/>
          <w:szCs w:val="30"/>
          <w:lang w:val="zh-TW" w:eastAsia="zh-TW"/>
        </w:rPr>
        <w:t>支持单位：深圳市发展和改革委员会</w:t>
      </w:r>
    </w:p>
    <w:p>
      <w:pPr>
        <w:spacing w:after="120" w:afterLines="50" w:line="500" w:lineRule="exact"/>
        <w:ind w:firstLine="1500" w:firstLineChars="500"/>
        <w:rPr>
          <w:rFonts w:hint="eastAsia" w:ascii="仿宋" w:hAnsi="仿宋" w:eastAsia="仿宋"/>
          <w:sz w:val="30"/>
          <w:szCs w:val="30"/>
          <w:lang w:val="zh-TW" w:eastAsia="zh-TW"/>
        </w:rPr>
      </w:pPr>
      <w:r>
        <w:rPr>
          <w:rFonts w:hint="eastAsia" w:ascii="仿宋" w:hAnsi="仿宋" w:eastAsia="仿宋"/>
          <w:sz w:val="30"/>
          <w:szCs w:val="30"/>
          <w:lang w:val="zh-TW" w:eastAsia="zh-TW"/>
        </w:rPr>
        <w:t>深圳市科技创新委员会</w:t>
      </w:r>
    </w:p>
    <w:p>
      <w:pPr>
        <w:spacing w:after="120" w:afterLines="50" w:line="500" w:lineRule="exact"/>
        <w:ind w:firstLine="1500" w:firstLineChars="500"/>
        <w:rPr>
          <w:rFonts w:ascii="仿宋" w:hAnsi="仿宋" w:eastAsia="仿宋"/>
          <w:sz w:val="30"/>
          <w:szCs w:val="30"/>
          <w:lang w:val="zh-TW" w:eastAsia="zh-TW"/>
        </w:rPr>
      </w:pPr>
      <w:r>
        <w:rPr>
          <w:rFonts w:hint="eastAsia" w:ascii="仿宋" w:hAnsi="仿宋" w:eastAsia="仿宋"/>
          <w:sz w:val="30"/>
          <w:szCs w:val="30"/>
          <w:lang w:val="zh-TW" w:eastAsia="zh-TW"/>
        </w:rPr>
        <w:t>深圳市科学技术协会</w:t>
      </w:r>
    </w:p>
    <w:p>
      <w:pPr>
        <w:spacing w:after="120" w:afterLines="50" w:line="500" w:lineRule="exact"/>
        <w:ind w:firstLine="1500" w:firstLineChars="500"/>
        <w:rPr>
          <w:rFonts w:ascii="仿宋" w:hAnsi="仿宋" w:eastAsia="仿宋"/>
          <w:sz w:val="30"/>
          <w:szCs w:val="30"/>
          <w:lang w:val="zh-TW" w:eastAsia="zh-TW"/>
        </w:rPr>
      </w:pPr>
      <w:r>
        <w:rPr>
          <w:rFonts w:hint="eastAsia" w:ascii="仿宋" w:hAnsi="仿宋" w:eastAsia="仿宋"/>
          <w:sz w:val="30"/>
          <w:szCs w:val="30"/>
          <w:lang w:val="zh-TW" w:eastAsia="zh-TW"/>
        </w:rPr>
        <w:t>深圳市市场的质量监督管理委员会</w:t>
      </w:r>
    </w:p>
    <w:p>
      <w:pPr>
        <w:spacing w:after="120" w:afterLines="50" w:line="500" w:lineRule="exact"/>
        <w:ind w:firstLine="1500" w:firstLineChars="500"/>
        <w:rPr>
          <w:rFonts w:ascii="仿宋" w:hAnsi="仿宋" w:eastAsia="Arial Unicode MS"/>
          <w:sz w:val="30"/>
          <w:szCs w:val="30"/>
          <w:lang w:val="zh-TW" w:eastAsia="zh-TW"/>
        </w:rPr>
      </w:pPr>
      <w:r>
        <w:rPr>
          <w:rFonts w:hint="eastAsia" w:ascii="仿宋" w:hAnsi="仿宋" w:eastAsia="仿宋"/>
          <w:sz w:val="30"/>
          <w:szCs w:val="30"/>
          <w:lang w:val="zh-TW" w:eastAsia="zh-TW"/>
        </w:rPr>
        <w:t>深圳市卫生和计划生育委员会</w:t>
      </w:r>
    </w:p>
    <w:p>
      <w:pPr>
        <w:spacing w:after="120" w:afterLines="50" w:line="500" w:lineRule="exact"/>
        <w:ind w:firstLine="1500" w:firstLineChars="500"/>
        <w:rPr>
          <w:rFonts w:ascii="仿宋" w:hAnsi="仿宋" w:eastAsia="仿宋"/>
          <w:sz w:val="30"/>
          <w:szCs w:val="30"/>
          <w:lang w:val="zh-TW" w:eastAsia="zh-TW"/>
        </w:rPr>
      </w:pPr>
    </w:p>
    <w:p>
      <w:pPr>
        <w:spacing w:after="120" w:afterLines="50" w:line="500" w:lineRule="exact"/>
        <w:rPr>
          <w:rFonts w:ascii="仿宋" w:hAnsi="仿宋" w:eastAsia="仿宋"/>
          <w:sz w:val="30"/>
          <w:szCs w:val="30"/>
          <w:lang w:val="zh-TW" w:eastAsia="zh-TW"/>
        </w:rPr>
      </w:pPr>
      <w:r>
        <w:rPr>
          <w:rFonts w:hint="eastAsia" w:ascii="仿宋" w:hAnsi="仿宋" w:eastAsia="仿宋"/>
          <w:sz w:val="30"/>
          <w:szCs w:val="30"/>
          <w:lang w:val="zh-TW"/>
        </w:rPr>
        <w:t>主办</w:t>
      </w:r>
      <w:r>
        <w:rPr>
          <w:rFonts w:hint="eastAsia" w:ascii="仿宋" w:hAnsi="仿宋" w:eastAsia="仿宋"/>
          <w:sz w:val="30"/>
          <w:szCs w:val="30"/>
          <w:lang w:val="zh-TW" w:eastAsia="zh-TW"/>
        </w:rPr>
        <w:t>单位：个体化细胞治疗技术国家地方联合工程实验室</w:t>
      </w:r>
    </w:p>
    <w:p>
      <w:pPr>
        <w:spacing w:after="120" w:afterLines="50" w:line="500" w:lineRule="exact"/>
        <w:ind w:firstLine="1500" w:firstLineChars="500"/>
        <w:rPr>
          <w:rFonts w:ascii="仿宋" w:hAnsi="仿宋" w:eastAsia="Arial Unicode MS"/>
          <w:sz w:val="30"/>
          <w:szCs w:val="30"/>
          <w:lang w:val="zh-TW" w:eastAsia="zh-TW"/>
        </w:rPr>
      </w:pPr>
      <w:r>
        <w:rPr>
          <w:rFonts w:hint="eastAsia" w:ascii="仿宋" w:hAnsi="仿宋" w:eastAsia="仿宋"/>
          <w:sz w:val="30"/>
          <w:szCs w:val="30"/>
          <w:lang w:val="zh-TW" w:eastAsia="zh-TW"/>
        </w:rPr>
        <w:t>深圳市北科生物科技有限公司</w:t>
      </w:r>
    </w:p>
    <w:p>
      <w:pPr>
        <w:spacing w:after="120" w:afterLines="50" w:line="500" w:lineRule="exact"/>
        <w:ind w:firstLine="1500" w:firstLineChars="500"/>
        <w:rPr>
          <w:rFonts w:ascii="仿宋" w:hAnsi="仿宋" w:eastAsia="仿宋"/>
          <w:sz w:val="30"/>
          <w:szCs w:val="30"/>
          <w:lang w:val="zh-TW" w:eastAsia="zh-TW"/>
        </w:rPr>
      </w:pPr>
      <w:r>
        <w:rPr>
          <w:rFonts w:hint="eastAsia" w:ascii="仿宋" w:hAnsi="仿宋" w:eastAsia="仿宋"/>
          <w:sz w:val="30"/>
          <w:szCs w:val="30"/>
          <w:lang w:val="zh-TW" w:eastAsia="zh-TW"/>
        </w:rPr>
        <w:t>深圳市科技开发交流中心</w:t>
      </w:r>
    </w:p>
    <w:p>
      <w:pPr>
        <w:spacing w:after="120" w:afterLines="50" w:line="500" w:lineRule="exact"/>
        <w:rPr>
          <w:rFonts w:ascii="仿宋" w:hAnsi="仿宋" w:eastAsia="仿宋" w:cs="华文宋体"/>
          <w:sz w:val="30"/>
          <w:szCs w:val="30"/>
          <w:lang w:val="zh-TW" w:eastAsia="zh-TW"/>
        </w:rPr>
      </w:pPr>
      <w:r>
        <w:rPr>
          <w:rFonts w:hint="eastAsia" w:ascii="仿宋" w:hAnsi="仿宋" w:eastAsia="仿宋"/>
          <w:sz w:val="30"/>
          <w:szCs w:val="30"/>
          <w:lang w:val="zh-TW" w:eastAsia="zh-TW"/>
        </w:rPr>
        <w:t>论坛主席：刘沐芸</w:t>
      </w:r>
    </w:p>
    <w:p>
      <w:pPr>
        <w:pageBreakBefore/>
        <w:spacing w:after="120" w:afterLines="50" w:line="500" w:lineRule="exact"/>
        <w:ind w:firstLine="646"/>
        <w:rPr>
          <w:rFonts w:ascii="仿宋" w:hAnsi="仿宋" w:eastAsia="仿宋" w:cs="华文宋体"/>
          <w:sz w:val="30"/>
          <w:szCs w:val="30"/>
          <w:lang w:val="zh-TW" w:eastAsia="zh-TW"/>
        </w:rPr>
      </w:pPr>
      <w:r>
        <w:rPr>
          <w:rFonts w:hint="eastAsia" w:ascii="仿宋" w:hAnsi="仿宋" w:eastAsia="仿宋"/>
          <w:sz w:val="30"/>
          <w:szCs w:val="30"/>
          <w:lang w:val="zh-TW" w:eastAsia="zh-TW"/>
        </w:rPr>
        <w:t>一、简介</w:t>
      </w:r>
    </w:p>
    <w:p>
      <w:pPr>
        <w:spacing w:after="120" w:afterLines="50" w:line="500" w:lineRule="exact"/>
        <w:ind w:firstLine="600"/>
        <w:rPr>
          <w:rFonts w:ascii="仿宋" w:hAnsi="仿宋" w:eastAsia="仿宋" w:cs="华文宋体"/>
          <w:sz w:val="30"/>
          <w:szCs w:val="30"/>
        </w:rPr>
      </w:pPr>
      <w:r>
        <w:rPr>
          <w:rFonts w:ascii="仿宋" w:hAnsi="仿宋" w:eastAsia="仿宋"/>
          <w:sz w:val="30"/>
          <w:szCs w:val="30"/>
        </w:rPr>
        <w:t xml:space="preserve"> “</w:t>
      </w:r>
      <w:r>
        <w:rPr>
          <w:rFonts w:hint="eastAsia" w:ascii="仿宋" w:hAnsi="仿宋" w:eastAsia="仿宋"/>
          <w:sz w:val="30"/>
          <w:szCs w:val="30"/>
          <w:lang w:val="zh-TW" w:eastAsia="zh-TW"/>
        </w:rPr>
        <w:t>科技</w:t>
      </w:r>
      <w:r>
        <w:rPr>
          <w:rFonts w:ascii="仿宋" w:hAnsi="仿宋" w:eastAsia="仿宋"/>
          <w:sz w:val="30"/>
          <w:szCs w:val="30"/>
        </w:rPr>
        <w:t>+</w:t>
      </w:r>
      <w:r>
        <w:rPr>
          <w:rFonts w:hint="eastAsia" w:ascii="仿宋" w:hAnsi="仿宋" w:eastAsia="仿宋"/>
          <w:sz w:val="30"/>
          <w:szCs w:val="30"/>
          <w:lang w:val="zh-TW" w:eastAsia="zh-TW"/>
        </w:rPr>
        <w:t>标准</w:t>
      </w:r>
      <w:r>
        <w:rPr>
          <w:rFonts w:ascii="仿宋" w:hAnsi="仿宋" w:eastAsia="仿宋"/>
          <w:sz w:val="30"/>
          <w:szCs w:val="30"/>
        </w:rPr>
        <w:t>”</w:t>
      </w:r>
      <w:r>
        <w:rPr>
          <w:rFonts w:hint="eastAsia" w:ascii="仿宋" w:hAnsi="仿宋" w:eastAsia="仿宋"/>
          <w:sz w:val="30"/>
          <w:szCs w:val="30"/>
          <w:lang w:val="zh-TW" w:eastAsia="zh-TW"/>
        </w:rPr>
        <w:t>打造创新药研发及产业软环境，加强创新技术产业化中间能力的建设，着眼于解决关键共性技术难题，有利于创新药物研发向临床治疗工具转化，带动相关产业的发展。对我国创新药研发到产业化链条中关键或缺失环节，实施</w:t>
      </w:r>
      <w:r>
        <w:rPr>
          <w:rFonts w:ascii="仿宋" w:hAnsi="仿宋" w:eastAsia="仿宋"/>
          <w:sz w:val="30"/>
          <w:szCs w:val="30"/>
        </w:rPr>
        <w:t>“</w:t>
      </w:r>
      <w:r>
        <w:rPr>
          <w:rFonts w:hint="eastAsia" w:ascii="仿宋" w:hAnsi="仿宋" w:eastAsia="仿宋"/>
          <w:sz w:val="30"/>
          <w:szCs w:val="30"/>
          <w:lang w:val="zh-TW" w:eastAsia="zh-TW"/>
        </w:rPr>
        <w:t>强链</w:t>
      </w:r>
      <w:r>
        <w:rPr>
          <w:rFonts w:ascii="仿宋" w:hAnsi="仿宋" w:eastAsia="仿宋"/>
          <w:sz w:val="30"/>
          <w:szCs w:val="30"/>
        </w:rPr>
        <w:t>”</w:t>
      </w:r>
      <w:r>
        <w:rPr>
          <w:rFonts w:hint="eastAsia" w:ascii="仿宋" w:hAnsi="仿宋" w:eastAsia="仿宋"/>
          <w:sz w:val="30"/>
          <w:szCs w:val="30"/>
          <w:lang w:val="zh-TW" w:eastAsia="zh-TW"/>
        </w:rPr>
        <w:t>和</w:t>
      </w:r>
      <w:r>
        <w:rPr>
          <w:rFonts w:ascii="仿宋" w:hAnsi="仿宋" w:eastAsia="仿宋"/>
          <w:sz w:val="30"/>
          <w:szCs w:val="30"/>
        </w:rPr>
        <w:t>“</w:t>
      </w:r>
      <w:r>
        <w:rPr>
          <w:rFonts w:hint="eastAsia" w:ascii="仿宋" w:hAnsi="仿宋" w:eastAsia="仿宋"/>
          <w:sz w:val="30"/>
          <w:szCs w:val="30"/>
          <w:lang w:val="zh-TW" w:eastAsia="zh-TW"/>
        </w:rPr>
        <w:t>补链</w:t>
      </w:r>
      <w:r>
        <w:rPr>
          <w:rFonts w:ascii="仿宋" w:hAnsi="仿宋" w:eastAsia="仿宋"/>
          <w:sz w:val="30"/>
          <w:szCs w:val="30"/>
        </w:rPr>
        <w:t>”</w:t>
      </w:r>
      <w:r>
        <w:rPr>
          <w:rFonts w:hint="eastAsia" w:ascii="仿宋" w:hAnsi="仿宋" w:eastAsia="仿宋"/>
          <w:sz w:val="30"/>
          <w:szCs w:val="30"/>
          <w:lang w:val="zh-TW" w:eastAsia="zh-TW"/>
        </w:rPr>
        <w:t>，为行业赋能，为监管减负。尤其如何保障</w:t>
      </w:r>
      <w:r>
        <w:rPr>
          <w:rFonts w:ascii="仿宋" w:hAnsi="仿宋" w:eastAsia="仿宋"/>
          <w:sz w:val="30"/>
          <w:szCs w:val="30"/>
        </w:rPr>
        <w:t>“</w:t>
      </w:r>
      <w:r>
        <w:rPr>
          <w:rFonts w:hint="eastAsia" w:ascii="仿宋" w:hAnsi="仿宋" w:eastAsia="仿宋"/>
          <w:sz w:val="30"/>
          <w:szCs w:val="30"/>
          <w:lang w:val="zh-TW" w:eastAsia="zh-TW"/>
        </w:rPr>
        <w:t>天价</w:t>
      </w:r>
      <w:r>
        <w:rPr>
          <w:rFonts w:ascii="仿宋" w:hAnsi="仿宋" w:eastAsia="仿宋"/>
          <w:sz w:val="30"/>
          <w:szCs w:val="30"/>
        </w:rPr>
        <w:t>”</w:t>
      </w:r>
      <w:r>
        <w:rPr>
          <w:rFonts w:hint="eastAsia" w:ascii="仿宋" w:hAnsi="仿宋" w:eastAsia="仿宋"/>
          <w:sz w:val="30"/>
          <w:szCs w:val="30"/>
          <w:lang w:val="zh-TW" w:eastAsia="zh-TW"/>
        </w:rPr>
        <w:t>抗癌药、</w:t>
      </w:r>
      <w:r>
        <w:rPr>
          <w:rFonts w:hint="eastAsia" w:ascii="仿宋" w:hAnsi="仿宋" w:eastAsia="仿宋"/>
          <w:sz w:val="30"/>
          <w:szCs w:val="30"/>
          <w:lang w:val="zh-CN"/>
        </w:rPr>
        <w:t>细胞产品</w:t>
      </w:r>
      <w:r>
        <w:rPr>
          <w:rFonts w:hint="eastAsia" w:ascii="仿宋" w:hAnsi="仿宋" w:eastAsia="仿宋"/>
          <w:sz w:val="30"/>
          <w:szCs w:val="30"/>
          <w:lang w:val="zh-TW" w:eastAsia="zh-TW"/>
        </w:rPr>
        <w:t>等急需药</w:t>
      </w:r>
      <w:r>
        <w:rPr>
          <w:rFonts w:hint="eastAsia" w:ascii="仿宋" w:hAnsi="仿宋" w:eastAsia="仿宋"/>
          <w:sz w:val="30"/>
          <w:szCs w:val="30"/>
          <w:lang w:val="zh-CN"/>
        </w:rPr>
        <w:t>、创新药</w:t>
      </w:r>
      <w:r>
        <w:rPr>
          <w:rFonts w:ascii="仿宋" w:hAnsi="仿宋" w:eastAsia="仿宋"/>
          <w:sz w:val="30"/>
          <w:szCs w:val="30"/>
        </w:rPr>
        <w:t>“</w:t>
      </w:r>
      <w:r>
        <w:rPr>
          <w:rFonts w:hint="eastAsia" w:ascii="仿宋" w:hAnsi="仿宋" w:eastAsia="仿宋"/>
          <w:sz w:val="30"/>
          <w:szCs w:val="30"/>
          <w:lang w:val="zh-TW" w:eastAsia="zh-TW"/>
        </w:rPr>
        <w:t>用得上</w:t>
      </w:r>
      <w:r>
        <w:rPr>
          <w:rFonts w:ascii="仿宋" w:hAnsi="仿宋" w:eastAsia="仿宋"/>
          <w:sz w:val="30"/>
          <w:szCs w:val="30"/>
        </w:rPr>
        <w:t>”</w:t>
      </w:r>
      <w:r>
        <w:rPr>
          <w:rFonts w:hint="eastAsia" w:ascii="仿宋" w:hAnsi="仿宋" w:eastAsia="仿宋"/>
          <w:sz w:val="30"/>
          <w:szCs w:val="30"/>
          <w:lang w:val="zh-TW" w:eastAsia="zh-TW"/>
        </w:rPr>
        <w:t>和</w:t>
      </w:r>
      <w:r>
        <w:rPr>
          <w:rFonts w:ascii="仿宋" w:hAnsi="仿宋" w:eastAsia="仿宋"/>
          <w:sz w:val="30"/>
          <w:szCs w:val="30"/>
        </w:rPr>
        <w:t>“</w:t>
      </w:r>
      <w:r>
        <w:rPr>
          <w:rFonts w:hint="eastAsia" w:ascii="仿宋" w:hAnsi="仿宋" w:eastAsia="仿宋"/>
          <w:sz w:val="30"/>
          <w:szCs w:val="30"/>
          <w:lang w:val="zh-TW" w:eastAsia="zh-TW"/>
        </w:rPr>
        <w:t>用得好</w:t>
      </w:r>
      <w:r>
        <w:rPr>
          <w:rFonts w:ascii="仿宋" w:hAnsi="仿宋" w:eastAsia="仿宋"/>
          <w:sz w:val="30"/>
          <w:szCs w:val="30"/>
        </w:rPr>
        <w:t>”</w:t>
      </w:r>
      <w:r>
        <w:rPr>
          <w:rFonts w:hint="eastAsia" w:ascii="仿宋" w:hAnsi="仿宋" w:eastAsia="仿宋"/>
          <w:sz w:val="30"/>
          <w:szCs w:val="30"/>
          <w:lang w:val="zh-TW" w:eastAsia="zh-TW"/>
        </w:rPr>
        <w:t>？更让我们认识到</w:t>
      </w:r>
      <w:r>
        <w:rPr>
          <w:rFonts w:ascii="仿宋" w:hAnsi="仿宋" w:eastAsia="仿宋"/>
          <w:sz w:val="30"/>
          <w:szCs w:val="30"/>
        </w:rPr>
        <w:t>“</w:t>
      </w:r>
      <w:r>
        <w:rPr>
          <w:rFonts w:hint="eastAsia" w:ascii="仿宋" w:hAnsi="仿宋" w:eastAsia="仿宋"/>
          <w:sz w:val="30"/>
          <w:szCs w:val="30"/>
          <w:lang w:val="zh-TW" w:eastAsia="zh-TW"/>
        </w:rPr>
        <w:t>科技</w:t>
      </w:r>
      <w:r>
        <w:rPr>
          <w:rFonts w:ascii="仿宋" w:hAnsi="仿宋" w:eastAsia="仿宋"/>
          <w:sz w:val="30"/>
          <w:szCs w:val="30"/>
        </w:rPr>
        <w:t>+</w:t>
      </w:r>
      <w:r>
        <w:rPr>
          <w:rFonts w:hint="eastAsia" w:ascii="仿宋" w:hAnsi="仿宋" w:eastAsia="仿宋"/>
          <w:sz w:val="30"/>
          <w:szCs w:val="30"/>
          <w:lang w:val="zh-TW" w:eastAsia="zh-TW"/>
        </w:rPr>
        <w:t>标准</w:t>
      </w:r>
      <w:r>
        <w:rPr>
          <w:rFonts w:ascii="仿宋" w:hAnsi="仿宋" w:eastAsia="仿宋"/>
          <w:sz w:val="30"/>
          <w:szCs w:val="30"/>
        </w:rPr>
        <w:t>”</w:t>
      </w:r>
      <w:r>
        <w:rPr>
          <w:rFonts w:hint="eastAsia" w:ascii="仿宋" w:hAnsi="仿宋" w:eastAsia="仿宋"/>
          <w:sz w:val="30"/>
          <w:szCs w:val="30"/>
          <w:lang w:val="zh-TW" w:eastAsia="zh-TW"/>
        </w:rPr>
        <w:t>优化监管在保障创新药成为</w:t>
      </w:r>
      <w:r>
        <w:rPr>
          <w:rFonts w:ascii="仿宋" w:hAnsi="仿宋" w:eastAsia="仿宋"/>
          <w:sz w:val="30"/>
          <w:szCs w:val="30"/>
        </w:rPr>
        <w:t>“</w:t>
      </w:r>
      <w:r>
        <w:rPr>
          <w:rFonts w:hint="eastAsia" w:ascii="仿宋" w:hAnsi="仿宋" w:eastAsia="仿宋"/>
          <w:sz w:val="30"/>
          <w:szCs w:val="30"/>
          <w:lang w:val="zh-TW" w:eastAsia="zh-TW"/>
        </w:rPr>
        <w:t>健康中国</w:t>
      </w:r>
      <w:r>
        <w:rPr>
          <w:rFonts w:ascii="仿宋" w:hAnsi="仿宋" w:eastAsia="仿宋"/>
          <w:sz w:val="30"/>
          <w:szCs w:val="30"/>
        </w:rPr>
        <w:t>”</w:t>
      </w:r>
      <w:r>
        <w:rPr>
          <w:rFonts w:hint="eastAsia" w:ascii="仿宋" w:hAnsi="仿宋" w:eastAsia="仿宋"/>
          <w:sz w:val="30"/>
          <w:szCs w:val="30"/>
          <w:lang w:val="zh-TW" w:eastAsia="zh-TW"/>
        </w:rPr>
        <w:t>生力军行动计划中的关键基础支撑作用。只有充分发挥科技创新成果，结合行业标准规范做好监管加法，才能切实增强人民群众从创新药成果转化的获得感。</w:t>
      </w:r>
    </w:p>
    <w:p>
      <w:pPr>
        <w:spacing w:after="120" w:afterLines="50" w:line="500" w:lineRule="exact"/>
        <w:ind w:firstLine="649"/>
        <w:rPr>
          <w:rFonts w:ascii="仿宋" w:hAnsi="仿宋" w:eastAsia="仿宋" w:cs="华文宋体"/>
          <w:sz w:val="30"/>
          <w:szCs w:val="30"/>
          <w:lang w:val="zh-TW" w:eastAsia="zh-TW"/>
        </w:rPr>
      </w:pPr>
      <w:r>
        <w:rPr>
          <w:rFonts w:hint="eastAsia" w:ascii="仿宋" w:hAnsi="仿宋" w:eastAsia="仿宋"/>
          <w:sz w:val="30"/>
          <w:szCs w:val="30"/>
          <w:lang w:val="zh-TW" w:eastAsia="zh-TW"/>
        </w:rPr>
        <w:t>二、议程安排</w:t>
      </w:r>
    </w:p>
    <w:tbl>
      <w:tblPr>
        <w:tblStyle w:val="9"/>
        <w:tblW w:w="852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669"/>
        <w:gridCol w:w="685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31"/>
              <w:ind w:firstLine="121"/>
              <w:rPr>
                <w:rFonts w:ascii="仿宋" w:hAnsi="仿宋" w:eastAsia="仿宋"/>
              </w:rPr>
            </w:pPr>
            <w:r>
              <w:rPr>
                <w:rFonts w:ascii="仿宋" w:hAnsi="仿宋" w:eastAsia="仿宋"/>
                <w:spacing w:val="1"/>
                <w:kern w:val="0"/>
                <w:sz w:val="24"/>
                <w:szCs w:val="24"/>
              </w:rPr>
              <w:t>14:00-14:05</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rPr>
            </w:pPr>
            <w:r>
              <w:rPr>
                <w:rFonts w:hint="eastAsia" w:ascii="仿宋" w:hAnsi="仿宋" w:eastAsia="仿宋"/>
                <w:sz w:val="24"/>
                <w:szCs w:val="24"/>
                <w:lang w:val="zh-TW" w:eastAsia="zh-TW"/>
              </w:rPr>
              <w:t>刘沐芸博士致辞，介绍与会嘉宾</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1285"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31"/>
              <w:ind w:firstLine="121"/>
              <w:rPr>
                <w:rFonts w:ascii="仿宋" w:hAnsi="仿宋" w:eastAsia="仿宋"/>
                <w:color w:val="auto"/>
              </w:rPr>
            </w:pPr>
            <w:r>
              <w:rPr>
                <w:rFonts w:ascii="仿宋" w:hAnsi="仿宋" w:eastAsia="仿宋"/>
                <w:color w:val="auto"/>
                <w:spacing w:val="1"/>
                <w:kern w:val="0"/>
                <w:sz w:val="24"/>
                <w:szCs w:val="24"/>
              </w:rPr>
              <w:t>14:05-14:35</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Arial Unicode MS"/>
                <w:color w:val="auto"/>
                <w:sz w:val="24"/>
                <w:szCs w:val="24"/>
                <w:lang w:val="zh-TW" w:eastAsia="zh-TW"/>
              </w:rPr>
            </w:pPr>
            <w:r>
              <w:rPr>
                <w:rFonts w:hint="eastAsia" w:ascii="仿宋" w:hAnsi="仿宋" w:eastAsia="仿宋"/>
                <w:color w:val="auto"/>
                <w:sz w:val="24"/>
                <w:szCs w:val="24"/>
                <w:lang w:val="zh-TW" w:eastAsia="zh-TW"/>
              </w:rPr>
              <w:t>揭牌</w:t>
            </w:r>
            <w:r>
              <w:rPr>
                <w:rFonts w:hint="eastAsia" w:ascii="仿宋" w:hAnsi="仿宋" w:eastAsia="仿宋"/>
                <w:color w:val="auto"/>
                <w:sz w:val="24"/>
                <w:szCs w:val="24"/>
                <w:lang w:val="zh-TW"/>
              </w:rPr>
              <w:t>暨签约</w:t>
            </w:r>
            <w:r>
              <w:rPr>
                <w:rFonts w:hint="eastAsia" w:ascii="仿宋" w:hAnsi="仿宋" w:eastAsia="仿宋"/>
                <w:color w:val="auto"/>
                <w:sz w:val="24"/>
                <w:szCs w:val="24"/>
                <w:lang w:val="zh-TW" w:eastAsia="zh-TW"/>
              </w:rPr>
              <w:t>仪式</w:t>
            </w:r>
          </w:p>
          <w:p>
            <w:pPr>
              <w:rPr>
                <w:rFonts w:ascii="仿宋" w:hAnsi="仿宋" w:eastAsia="仿宋"/>
                <w:color w:val="auto"/>
                <w:sz w:val="24"/>
                <w:szCs w:val="24"/>
                <w:lang w:val="zh-TW" w:eastAsia="zh-TW"/>
              </w:rPr>
            </w:pPr>
            <w:r>
              <w:rPr>
                <w:rFonts w:hint="eastAsia" w:ascii="仿宋" w:hAnsi="仿宋" w:eastAsia="仿宋"/>
                <w:color w:val="auto"/>
                <w:sz w:val="24"/>
                <w:szCs w:val="24"/>
                <w:lang w:val="zh-TW" w:eastAsia="zh-TW"/>
              </w:rPr>
              <w:t>领导致辞，嘉宾见证</w:t>
            </w:r>
          </w:p>
          <w:p>
            <w:pPr>
              <w:rPr>
                <w:rFonts w:ascii="仿宋" w:hAnsi="仿宋" w:eastAsia="仿宋"/>
                <w:color w:val="auto"/>
              </w:rPr>
            </w:pPr>
            <w:r>
              <w:rPr>
                <w:rFonts w:hint="eastAsia" w:ascii="仿宋" w:hAnsi="仿宋" w:eastAsia="仿宋"/>
                <w:color w:val="auto"/>
                <w:sz w:val="24"/>
                <w:szCs w:val="24"/>
                <w:lang w:val="zh-TW" w:eastAsia="zh-TW"/>
              </w:rPr>
              <w:t>合影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86"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31"/>
              <w:ind w:firstLine="121"/>
              <w:rPr>
                <w:rFonts w:ascii="仿宋" w:hAnsi="仿宋" w:eastAsia="仿宋"/>
                <w:spacing w:val="1"/>
                <w:kern w:val="0"/>
                <w:sz w:val="24"/>
                <w:szCs w:val="24"/>
              </w:rPr>
            </w:pPr>
            <w:r>
              <w:rPr>
                <w:rFonts w:ascii="仿宋" w:hAnsi="仿宋" w:eastAsia="仿宋"/>
                <w:spacing w:val="1"/>
                <w:kern w:val="0"/>
                <w:sz w:val="24"/>
                <w:szCs w:val="24"/>
              </w:rPr>
              <w:t>14:35-15:00</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cs="Times New Roman"/>
                <w:sz w:val="24"/>
                <w:szCs w:val="24"/>
              </w:rPr>
            </w:pPr>
            <w:r>
              <w:rPr>
                <w:rFonts w:hint="eastAsia" w:ascii="仿宋" w:hAnsi="仿宋" w:eastAsia="仿宋"/>
                <w:sz w:val="24"/>
                <w:szCs w:val="24"/>
                <w:lang w:val="zh-TW" w:eastAsia="zh-TW"/>
              </w:rPr>
              <w:t>主题演讲</w:t>
            </w:r>
            <w:r>
              <w:rPr>
                <w:rFonts w:ascii="仿宋" w:hAnsi="仿宋" w:eastAsia="仿宋"/>
                <w:sz w:val="24"/>
                <w:szCs w:val="24"/>
              </w:rPr>
              <w:t>1</w:t>
            </w:r>
          </w:p>
          <w:p>
            <w:pPr>
              <w:rPr>
                <w:rFonts w:ascii="仿宋" w:hAnsi="仿宋" w:eastAsia="仿宋" w:cs="Times New Roman"/>
                <w:sz w:val="24"/>
                <w:szCs w:val="24"/>
              </w:rPr>
            </w:pPr>
            <w:r>
              <w:rPr>
                <w:rFonts w:hint="eastAsia" w:ascii="仿宋" w:hAnsi="仿宋" w:eastAsia="仿宋"/>
                <w:sz w:val="24"/>
                <w:szCs w:val="24"/>
                <w:lang w:val="zh-TW" w:eastAsia="zh-TW"/>
              </w:rPr>
              <w:t>演讲嘉宾：王宗龄</w:t>
            </w:r>
          </w:p>
          <w:p>
            <w:pPr>
              <w:rPr>
                <w:rFonts w:ascii="仿宋" w:hAnsi="仿宋" w:eastAsia="仿宋" w:cs="Times New Roman"/>
                <w:sz w:val="24"/>
                <w:szCs w:val="24"/>
              </w:rPr>
            </w:pPr>
            <w:r>
              <w:rPr>
                <w:rFonts w:hint="eastAsia" w:ascii="仿宋" w:hAnsi="仿宋" w:eastAsia="仿宋"/>
                <w:sz w:val="24"/>
                <w:szCs w:val="24"/>
                <w:lang w:val="zh-TW" w:eastAsia="zh-TW"/>
              </w:rPr>
              <w:t>演讲题目：中国生物技术标准化现状与展望</w:t>
            </w:r>
          </w:p>
          <w:p>
            <w:pPr>
              <w:rPr>
                <w:rFonts w:ascii="仿宋" w:hAnsi="仿宋" w:eastAsia="仿宋"/>
                <w:sz w:val="24"/>
                <w:szCs w:val="24"/>
                <w:lang w:val="zh-TW" w:eastAsia="zh-TW"/>
              </w:rPr>
            </w:pPr>
            <w:r>
              <w:rPr>
                <w:rFonts w:hint="eastAsia" w:ascii="仿宋" w:hAnsi="仿宋" w:eastAsia="仿宋"/>
                <w:sz w:val="24"/>
                <w:szCs w:val="24"/>
                <w:lang w:val="zh-TW" w:eastAsia="zh-TW"/>
              </w:rPr>
              <w:t>演讲摘要：近年来，现代生命科学与生物技术取得了一系列重要进展和重大突破，加速了生物产业的蓬勃发展，在生物技术的支撑下生物经济正在推动第四次产业革命浪潮的加速形成。在我国，生物经济已成为我国经济的重要增长点之一，国内已形成了京津冀、“长三角”、“珠三角”为核心的生物产业聚集区。但是，国内生物技术标准化工作基础仍然薄弱，对生物产业整体发展不能起到基础支撑作用，助推生物产业发展态势尚未形成，尤其是如基因健康产业、生物技术服务产业等许多新兴产业标准缺失的问题严重突出。我们希望未来的生物技术标准化工作，首先从机构设置和基础研究、生物技术复合型国际标准化人才培养等方面重点发力，夯实生物技术标准化基础工作；同时发挥政策导向作用，引导企业将研发与标准化同步工作作为技术发展战略的一部分，走“技术专利化、专利标准化、标准产业化、标准国际化”的创新路线，促进科技成果转化应用；建设生物产业国家技术标准创新基地和标准化示范基地，培育生物产业企业标准“领跑者”，加快建设从基础研究、技术研发、工业生产、标准研制的完整技术标准创新全链条。加快国际标准创新步伐，使中国标准成功“走出去”，带动技术、设备、服务、品牌“走出去”，全面提升生物技术标准化建设水平。</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454"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31"/>
              <w:ind w:firstLine="121"/>
              <w:rPr>
                <w:rFonts w:ascii="仿宋" w:hAnsi="仿宋" w:eastAsia="仿宋"/>
              </w:rPr>
            </w:pPr>
            <w:r>
              <w:rPr>
                <w:rFonts w:ascii="仿宋" w:hAnsi="仿宋" w:eastAsia="仿宋"/>
                <w:spacing w:val="1"/>
                <w:kern w:val="0"/>
                <w:sz w:val="24"/>
                <w:szCs w:val="24"/>
              </w:rPr>
              <w:t>15:00-15:25</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cs="Times New Roman"/>
                <w:sz w:val="24"/>
                <w:szCs w:val="24"/>
              </w:rPr>
            </w:pPr>
            <w:r>
              <w:rPr>
                <w:rFonts w:hint="eastAsia" w:ascii="仿宋" w:hAnsi="仿宋" w:eastAsia="仿宋"/>
                <w:sz w:val="24"/>
                <w:szCs w:val="24"/>
                <w:lang w:val="zh-TW" w:eastAsia="zh-TW"/>
              </w:rPr>
              <w:t>主题演讲</w:t>
            </w:r>
            <w:r>
              <w:rPr>
                <w:rFonts w:ascii="仿宋" w:hAnsi="仿宋" w:eastAsia="仿宋"/>
                <w:sz w:val="24"/>
                <w:szCs w:val="24"/>
              </w:rPr>
              <w:t>2</w:t>
            </w:r>
          </w:p>
          <w:p>
            <w:pPr>
              <w:rPr>
                <w:rFonts w:ascii="仿宋" w:hAnsi="仿宋" w:eastAsia="仿宋" w:cs="Times New Roman"/>
                <w:color w:val="auto"/>
                <w:sz w:val="24"/>
                <w:szCs w:val="24"/>
              </w:rPr>
            </w:pPr>
            <w:r>
              <w:rPr>
                <w:rFonts w:hint="eastAsia" w:ascii="仿宋" w:hAnsi="仿宋" w:eastAsia="仿宋"/>
                <w:color w:val="auto"/>
                <w:sz w:val="24"/>
                <w:szCs w:val="24"/>
                <w:lang w:val="zh-TW" w:eastAsia="zh-TW"/>
              </w:rPr>
              <w:t>演讲嘉宾：陈永勤</w:t>
            </w:r>
          </w:p>
          <w:p>
            <w:pPr>
              <w:rPr>
                <w:rFonts w:ascii="仿宋" w:hAnsi="仿宋" w:eastAsia="仿宋" w:cs="Times New Roman"/>
                <w:sz w:val="24"/>
                <w:szCs w:val="24"/>
              </w:rPr>
            </w:pPr>
            <w:r>
              <w:rPr>
                <w:rFonts w:hint="eastAsia" w:ascii="仿宋" w:hAnsi="仿宋" w:eastAsia="仿宋"/>
                <w:sz w:val="24"/>
                <w:szCs w:val="24"/>
                <w:lang w:val="zh-TW" w:eastAsia="zh-TW"/>
              </w:rPr>
              <w:t>演讲题目：流式细胞技术的现状和展望</w:t>
            </w:r>
          </w:p>
          <w:p>
            <w:pPr>
              <w:rPr>
                <w:rFonts w:ascii="仿宋" w:hAnsi="仿宋" w:eastAsia="仿宋"/>
              </w:rPr>
            </w:pPr>
            <w:r>
              <w:rPr>
                <w:rFonts w:hint="eastAsia" w:ascii="仿宋" w:hAnsi="仿宋" w:eastAsia="仿宋"/>
                <w:sz w:val="24"/>
                <w:szCs w:val="24"/>
                <w:lang w:val="zh-TW" w:eastAsia="zh-TW"/>
              </w:rPr>
              <w:t>演讲摘要：流式细胞仪作为生物技术，计算机科学，激光技术，分子生物学，微电子学和光电技术等学科知识交叉的结晶，在细胞生物学，临床医学和新药开发上有着广泛的应用。本报告将针对免疫疗法，细胞疗法和细胞外倍体研究的需求，着重介绍近年来多参数，高灵敏度流式细胞仪的现状和发展趋势，并通过赛景生物</w:t>
            </w:r>
            <w:r>
              <w:rPr>
                <w:rFonts w:ascii="仿宋" w:hAnsi="仿宋" w:eastAsia="仿宋"/>
                <w:sz w:val="24"/>
                <w:szCs w:val="24"/>
              </w:rPr>
              <w:t>(Xitogen)/</w:t>
            </w:r>
            <w:r>
              <w:rPr>
                <w:rFonts w:hint="eastAsia" w:ascii="仿宋" w:hAnsi="仿宋" w:eastAsia="仿宋"/>
                <w:sz w:val="24"/>
                <w:szCs w:val="24"/>
                <w:lang w:val="zh-TW" w:eastAsia="zh-TW"/>
              </w:rPr>
              <w:t>贝克曼的成长历程揭示生物医疗设备初创企业在网络大环境下超越国际巨头的机会。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243"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31"/>
              <w:ind w:firstLine="121"/>
              <w:rPr>
                <w:rFonts w:ascii="仿宋" w:hAnsi="仿宋" w:eastAsia="仿宋"/>
              </w:rPr>
            </w:pPr>
            <w:r>
              <w:rPr>
                <w:rFonts w:ascii="仿宋" w:hAnsi="仿宋" w:eastAsia="仿宋"/>
                <w:spacing w:val="1"/>
                <w:kern w:val="0"/>
                <w:sz w:val="24"/>
                <w:szCs w:val="24"/>
              </w:rPr>
              <w:t>15:25-15:50</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cs="Times New Roman"/>
                <w:sz w:val="24"/>
                <w:szCs w:val="24"/>
              </w:rPr>
            </w:pPr>
            <w:r>
              <w:rPr>
                <w:rFonts w:hint="eastAsia" w:ascii="仿宋" w:hAnsi="仿宋" w:eastAsia="仿宋"/>
                <w:sz w:val="24"/>
                <w:szCs w:val="24"/>
                <w:lang w:val="zh-TW" w:eastAsia="zh-TW"/>
              </w:rPr>
              <w:t>主题演讲</w:t>
            </w:r>
            <w:r>
              <w:rPr>
                <w:rFonts w:ascii="仿宋" w:hAnsi="仿宋" w:eastAsia="仿宋"/>
                <w:sz w:val="24"/>
                <w:szCs w:val="24"/>
              </w:rPr>
              <w:t>3</w:t>
            </w:r>
          </w:p>
          <w:p>
            <w:pPr>
              <w:rPr>
                <w:rFonts w:ascii="仿宋" w:hAnsi="仿宋" w:eastAsia="仿宋" w:cs="Times New Roman"/>
                <w:sz w:val="24"/>
                <w:szCs w:val="24"/>
              </w:rPr>
            </w:pPr>
            <w:r>
              <w:rPr>
                <w:rFonts w:hint="eastAsia" w:ascii="仿宋" w:hAnsi="仿宋" w:eastAsia="仿宋"/>
                <w:sz w:val="24"/>
                <w:szCs w:val="24"/>
                <w:lang w:val="zh-TW" w:eastAsia="zh-TW"/>
              </w:rPr>
              <w:t>演讲嘉宾：</w:t>
            </w:r>
            <w:r>
              <w:rPr>
                <w:rFonts w:hint="eastAsia" w:ascii="仿宋" w:hAnsi="仿宋" w:eastAsia="仿宋" w:cs="Arial Unicode MS"/>
                <w:sz w:val="24"/>
                <w:szCs w:val="24"/>
                <w:lang w:val="zh-TW" w:eastAsia="zh-TW"/>
              </w:rPr>
              <w:t>王露楠</w:t>
            </w:r>
          </w:p>
          <w:p>
            <w:pPr>
              <w:rPr>
                <w:rFonts w:ascii="仿宋" w:hAnsi="仿宋" w:eastAsia="Arial Unicode MS" w:cs="Times New Roman"/>
                <w:sz w:val="24"/>
                <w:szCs w:val="24"/>
                <w:lang w:eastAsia="zh-TW"/>
              </w:rPr>
            </w:pPr>
            <w:r>
              <w:rPr>
                <w:rFonts w:hint="eastAsia" w:ascii="仿宋" w:hAnsi="仿宋" w:eastAsia="仿宋"/>
                <w:sz w:val="24"/>
                <w:szCs w:val="24"/>
                <w:lang w:val="zh-TW" w:eastAsia="zh-TW"/>
              </w:rPr>
              <w:t>演讲题目：</w:t>
            </w:r>
            <w:r>
              <w:rPr>
                <w:rFonts w:hint="eastAsia" w:ascii="仿宋" w:hAnsi="仿宋" w:eastAsia="仿宋"/>
                <w:sz w:val="24"/>
                <w:szCs w:val="24"/>
                <w:lang w:val="zh-TW"/>
              </w:rPr>
              <w:t>血筛检测标准在细胞产品中的应用</w:t>
            </w:r>
          </w:p>
          <w:p>
            <w:pPr>
              <w:rPr>
                <w:rFonts w:ascii="仿宋" w:hAnsi="仿宋" w:eastAsia="仿宋"/>
              </w:rPr>
            </w:pPr>
            <w:r>
              <w:rPr>
                <w:rFonts w:hint="eastAsia" w:ascii="仿宋" w:hAnsi="仿宋" w:eastAsia="仿宋"/>
                <w:sz w:val="24"/>
                <w:szCs w:val="24"/>
                <w:lang w:val="zh-TW" w:eastAsia="zh-TW"/>
              </w:rPr>
              <w:t>演讲摘要：</w:t>
            </w:r>
            <w:r>
              <w:rPr>
                <w:rFonts w:hint="eastAsia" w:ascii="仿宋" w:hAnsi="仿宋" w:eastAsia="仿宋"/>
                <w:sz w:val="24"/>
                <w:szCs w:val="24"/>
                <w:lang w:val="zh-TW"/>
              </w:rPr>
              <w:t>输血医学及血筛检测技术发展；细胞产业发展及质量概况；输血治疗与细胞治疗产品异同；细胞产品质量检测能力建设的几点思考。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00"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31"/>
              <w:ind w:firstLine="121"/>
              <w:rPr>
                <w:rFonts w:ascii="仿宋" w:hAnsi="仿宋" w:eastAsia="仿宋"/>
                <w:spacing w:val="1"/>
                <w:kern w:val="0"/>
                <w:sz w:val="24"/>
                <w:szCs w:val="24"/>
              </w:rPr>
            </w:pPr>
            <w:r>
              <w:rPr>
                <w:rFonts w:ascii="仿宋" w:hAnsi="仿宋" w:eastAsia="仿宋"/>
                <w:spacing w:val="1"/>
                <w:kern w:val="0"/>
                <w:sz w:val="24"/>
                <w:szCs w:val="24"/>
              </w:rPr>
              <w:t>15:50-16:05</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sz w:val="24"/>
                <w:szCs w:val="24"/>
                <w:lang w:val="zh-TW" w:eastAsia="zh-TW"/>
              </w:rPr>
            </w:pPr>
            <w:r>
              <w:rPr>
                <w:rFonts w:hint="eastAsia" w:ascii="仿宋" w:hAnsi="仿宋" w:eastAsia="仿宋"/>
                <w:sz w:val="24"/>
                <w:szCs w:val="24"/>
                <w:lang w:val="zh-TW"/>
              </w:rPr>
              <w:t>讨论、答疑</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746"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31"/>
              <w:ind w:firstLine="121"/>
              <w:rPr>
                <w:rFonts w:ascii="仿宋" w:hAnsi="仿宋" w:eastAsia="仿宋"/>
              </w:rPr>
            </w:pPr>
            <w:r>
              <w:rPr>
                <w:rFonts w:ascii="仿宋" w:hAnsi="仿宋" w:eastAsia="仿宋"/>
                <w:spacing w:val="1"/>
                <w:kern w:val="0"/>
                <w:sz w:val="24"/>
                <w:szCs w:val="24"/>
              </w:rPr>
              <w:t>16:05-16:30</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cs="Times New Roman"/>
                <w:sz w:val="24"/>
                <w:szCs w:val="24"/>
              </w:rPr>
            </w:pPr>
            <w:r>
              <w:rPr>
                <w:rFonts w:hint="eastAsia" w:ascii="仿宋" w:hAnsi="仿宋" w:eastAsia="仿宋"/>
                <w:sz w:val="24"/>
                <w:szCs w:val="24"/>
                <w:lang w:val="zh-TW" w:eastAsia="zh-TW"/>
              </w:rPr>
              <w:t>主题演讲</w:t>
            </w:r>
            <w:r>
              <w:rPr>
                <w:rFonts w:ascii="仿宋" w:hAnsi="仿宋" w:eastAsia="仿宋"/>
                <w:sz w:val="24"/>
                <w:szCs w:val="24"/>
              </w:rPr>
              <w:t>4</w:t>
            </w:r>
          </w:p>
          <w:p>
            <w:pPr>
              <w:rPr>
                <w:rFonts w:ascii="仿宋" w:hAnsi="仿宋" w:eastAsia="仿宋" w:cs="Times New Roman"/>
                <w:sz w:val="24"/>
                <w:szCs w:val="24"/>
              </w:rPr>
            </w:pPr>
            <w:r>
              <w:rPr>
                <w:rFonts w:hint="eastAsia" w:ascii="仿宋" w:hAnsi="仿宋" w:eastAsia="仿宋"/>
                <w:sz w:val="24"/>
                <w:szCs w:val="24"/>
                <w:lang w:val="zh-TW" w:eastAsia="zh-TW"/>
              </w:rPr>
              <w:t>演讲嘉宾：</w:t>
            </w:r>
            <w:r>
              <w:rPr>
                <w:rFonts w:ascii="仿宋" w:hAnsi="仿宋" w:eastAsia="仿宋"/>
                <w:sz w:val="24"/>
                <w:szCs w:val="24"/>
              </w:rPr>
              <w:t>Lothar Willmitzer</w:t>
            </w:r>
            <w:r>
              <w:rPr>
                <w:rFonts w:hint="eastAsia" w:ascii="仿宋" w:hAnsi="仿宋" w:eastAsia="仿宋"/>
                <w:sz w:val="24"/>
                <w:szCs w:val="24"/>
                <w:lang w:val="zh-TW" w:eastAsia="zh-TW"/>
              </w:rPr>
              <w:t>（洛萨</w:t>
            </w:r>
            <w:r>
              <w:rPr>
                <w:rFonts w:hint="eastAsia" w:ascii="微软雅黑" w:hAnsi="微软雅黑" w:eastAsia="微软雅黑" w:cs="微软雅黑"/>
                <w:sz w:val="24"/>
                <w:szCs w:val="24"/>
              </w:rPr>
              <w:t>∙</w:t>
            </w:r>
            <w:r>
              <w:rPr>
                <w:rFonts w:hint="eastAsia" w:ascii="仿宋" w:hAnsi="仿宋" w:eastAsia="仿宋"/>
                <w:sz w:val="24"/>
                <w:szCs w:val="24"/>
                <w:lang w:val="zh-TW" w:eastAsia="zh-TW"/>
              </w:rPr>
              <w:t>威尔米策）院士</w:t>
            </w:r>
          </w:p>
          <w:p>
            <w:pPr>
              <w:rPr>
                <w:rFonts w:ascii="仿宋" w:hAnsi="仿宋" w:eastAsia="仿宋" w:cs="Times New Roman"/>
                <w:sz w:val="24"/>
                <w:szCs w:val="24"/>
              </w:rPr>
            </w:pPr>
            <w:r>
              <w:rPr>
                <w:rFonts w:hint="eastAsia" w:ascii="仿宋" w:hAnsi="仿宋" w:eastAsia="仿宋"/>
                <w:sz w:val="24"/>
                <w:szCs w:val="24"/>
                <w:lang w:val="zh-TW" w:eastAsia="zh-TW"/>
              </w:rPr>
              <w:t>演讲题目：代谢组学——生命科学中的一项重要技术</w:t>
            </w:r>
          </w:p>
          <w:p>
            <w:pPr>
              <w:rPr>
                <w:rFonts w:ascii="仿宋" w:hAnsi="仿宋" w:eastAsia="Arial Unicode MS"/>
              </w:rPr>
            </w:pPr>
            <w:r>
              <w:rPr>
                <w:rFonts w:hint="eastAsia" w:ascii="仿宋" w:hAnsi="仿宋" w:eastAsia="仿宋"/>
                <w:sz w:val="24"/>
                <w:szCs w:val="24"/>
                <w:lang w:val="zh-TW" w:eastAsia="zh-TW"/>
              </w:rPr>
              <w:t>演讲摘要：代谢处于所有生命生物机能的中心地位，反映着生物体在不同环境下的状态。与稳定的基因相比，代谢将遗传信息与环境和发育的多种影响整合在一起。分析代谢与人体状态之间的相关性，可研发不同的诊断方法。我们开发的代谢组学技术可高通量的分析几千个代谢物。这些数据可以用于特异性地识别特定的疾病模式。我将介绍代谢组学概念与一些技术细节；讨论它与机器学习相结合应用于疾病诊断的范例；并展望其在非医疗领域的应用前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596"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31"/>
              <w:ind w:firstLine="121"/>
              <w:rPr>
                <w:rFonts w:ascii="仿宋" w:hAnsi="仿宋" w:eastAsia="仿宋"/>
              </w:rPr>
            </w:pPr>
            <w:r>
              <w:rPr>
                <w:rFonts w:ascii="仿宋" w:hAnsi="仿宋" w:eastAsia="仿宋"/>
                <w:spacing w:val="1"/>
                <w:kern w:val="0"/>
                <w:sz w:val="24"/>
                <w:szCs w:val="24"/>
              </w:rPr>
              <w:t>16:30-16:55</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cs="Times New Roman"/>
                <w:sz w:val="24"/>
                <w:szCs w:val="24"/>
              </w:rPr>
            </w:pPr>
            <w:r>
              <w:rPr>
                <w:rFonts w:hint="eastAsia" w:ascii="仿宋" w:hAnsi="仿宋" w:eastAsia="仿宋"/>
                <w:sz w:val="24"/>
                <w:szCs w:val="24"/>
                <w:lang w:val="zh-TW" w:eastAsia="zh-TW"/>
              </w:rPr>
              <w:t>主题演讲</w:t>
            </w:r>
            <w:r>
              <w:rPr>
                <w:rFonts w:ascii="仿宋" w:hAnsi="仿宋" w:eastAsia="仿宋"/>
                <w:sz w:val="24"/>
                <w:szCs w:val="24"/>
              </w:rPr>
              <w:t>5</w:t>
            </w:r>
          </w:p>
          <w:p>
            <w:pPr>
              <w:widowControl/>
              <w:rPr>
                <w:rFonts w:ascii="仿宋" w:hAnsi="仿宋" w:eastAsia="仿宋" w:cs="Times New Roman"/>
                <w:sz w:val="24"/>
                <w:szCs w:val="24"/>
              </w:rPr>
            </w:pPr>
            <w:r>
              <w:rPr>
                <w:rFonts w:hint="eastAsia" w:ascii="仿宋" w:hAnsi="仿宋" w:eastAsia="仿宋"/>
                <w:sz w:val="24"/>
                <w:szCs w:val="24"/>
                <w:lang w:val="zh-TW" w:eastAsia="zh-TW"/>
              </w:rPr>
              <w:t>演讲嘉宾：</w:t>
            </w:r>
            <w:r>
              <w:rPr>
                <w:rFonts w:hint="eastAsia" w:ascii="仿宋" w:hAnsi="仿宋" w:eastAsia="仿宋"/>
                <w:sz w:val="24"/>
                <w:szCs w:val="24"/>
                <w:lang w:val="zh-TW"/>
              </w:rPr>
              <w:t>赵同标</w:t>
            </w:r>
          </w:p>
          <w:p>
            <w:pPr>
              <w:widowControl/>
              <w:rPr>
                <w:rFonts w:ascii="仿宋" w:hAnsi="仿宋" w:eastAsia="仿宋" w:cs="Times New Roman"/>
                <w:sz w:val="24"/>
                <w:szCs w:val="24"/>
              </w:rPr>
            </w:pPr>
            <w:r>
              <w:rPr>
                <w:rFonts w:hint="eastAsia" w:ascii="仿宋" w:hAnsi="仿宋" w:eastAsia="仿宋"/>
                <w:sz w:val="24"/>
                <w:szCs w:val="24"/>
                <w:lang w:val="zh-TW" w:eastAsia="zh-TW"/>
              </w:rPr>
              <w:t>演讲题目：</w:t>
            </w:r>
            <w:r>
              <w:rPr>
                <w:rFonts w:hint="eastAsia" w:ascii="仿宋" w:hAnsi="仿宋" w:eastAsia="仿宋"/>
                <w:sz w:val="24"/>
                <w:szCs w:val="24"/>
                <w:lang w:val="zh-TW"/>
              </w:rPr>
              <w:t>干细胞标准化研究</w:t>
            </w:r>
          </w:p>
          <w:p>
            <w:pPr>
              <w:rPr>
                <w:rFonts w:ascii="仿宋" w:hAnsi="仿宋" w:eastAsia="Arial Unicode MS"/>
                <w:lang w:eastAsia="zh-TW"/>
              </w:rPr>
            </w:pPr>
            <w:r>
              <w:rPr>
                <w:rFonts w:hint="eastAsia" w:ascii="仿宋" w:hAnsi="仿宋" w:eastAsia="仿宋"/>
                <w:sz w:val="24"/>
                <w:szCs w:val="24"/>
                <w:lang w:val="zh-TW" w:eastAsia="zh-TW"/>
              </w:rPr>
              <w:t>演讲摘要：干细胞为治疗多种“不治之症”带来希望，但由于免疫配型以及细胞来源不一、作用各异、评价复杂等原因导致的质量控制困难等因素，使干细胞规模化生产和临床应用面临巨大困境。如何规模化制备针对特定适应症治疗用细胞，确定针对干细胞生物学特性、安全性、有效性和稳定性等基本问题的质控标准，是当前干细胞临床应用亟待解决的关键问题。干细胞标准化的建设在我国干细胞转化研究和应用的规范化方面起着重要的作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948"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31"/>
              <w:ind w:firstLine="121"/>
              <w:rPr>
                <w:rFonts w:ascii="仿宋" w:hAnsi="仿宋" w:eastAsia="仿宋"/>
              </w:rPr>
            </w:pPr>
            <w:r>
              <w:rPr>
                <w:rFonts w:ascii="仿宋" w:hAnsi="仿宋" w:eastAsia="仿宋"/>
                <w:spacing w:val="1"/>
                <w:kern w:val="0"/>
                <w:sz w:val="24"/>
                <w:szCs w:val="24"/>
              </w:rPr>
              <w:t>16:55-17:20</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cs="Times New Roman"/>
                <w:sz w:val="24"/>
                <w:szCs w:val="24"/>
              </w:rPr>
            </w:pPr>
            <w:r>
              <w:rPr>
                <w:rFonts w:hint="eastAsia" w:ascii="仿宋" w:hAnsi="仿宋" w:eastAsia="仿宋"/>
                <w:sz w:val="24"/>
                <w:szCs w:val="24"/>
                <w:lang w:val="zh-TW" w:eastAsia="zh-TW"/>
              </w:rPr>
              <w:t>主题演讲</w:t>
            </w:r>
            <w:r>
              <w:rPr>
                <w:rFonts w:ascii="仿宋" w:hAnsi="仿宋" w:eastAsia="仿宋"/>
                <w:sz w:val="24"/>
                <w:szCs w:val="24"/>
              </w:rPr>
              <w:t>6</w:t>
            </w:r>
          </w:p>
          <w:p>
            <w:pPr>
              <w:rPr>
                <w:rFonts w:ascii="仿宋" w:hAnsi="仿宋" w:eastAsia="仿宋" w:cs="Times New Roman"/>
                <w:sz w:val="24"/>
                <w:szCs w:val="24"/>
              </w:rPr>
            </w:pPr>
            <w:r>
              <w:rPr>
                <w:rFonts w:hint="eastAsia" w:ascii="仿宋" w:hAnsi="仿宋" w:eastAsia="仿宋"/>
                <w:sz w:val="24"/>
                <w:szCs w:val="24"/>
                <w:lang w:val="zh-TW" w:eastAsia="zh-TW"/>
              </w:rPr>
              <w:t>演讲嘉宾：李明</w:t>
            </w:r>
          </w:p>
          <w:p>
            <w:pPr>
              <w:rPr>
                <w:rFonts w:ascii="仿宋" w:hAnsi="仿宋" w:eastAsia="仿宋" w:cs="Times New Roman"/>
                <w:sz w:val="24"/>
                <w:szCs w:val="24"/>
              </w:rPr>
            </w:pPr>
            <w:r>
              <w:rPr>
                <w:rFonts w:hint="eastAsia" w:ascii="仿宋" w:hAnsi="仿宋" w:eastAsia="仿宋"/>
                <w:sz w:val="24"/>
                <w:szCs w:val="24"/>
                <w:lang w:val="zh-TW" w:eastAsia="zh-TW"/>
              </w:rPr>
              <w:t>演讲题目：干细胞产业标准体系与过程认证构想</w:t>
            </w:r>
          </w:p>
          <w:p>
            <w:pPr>
              <w:rPr>
                <w:rFonts w:ascii="仿宋" w:hAnsi="仿宋" w:eastAsia="仿宋"/>
                <w:sz w:val="24"/>
                <w:szCs w:val="24"/>
                <w:lang w:val="zh-TW" w:eastAsia="zh-TW"/>
              </w:rPr>
            </w:pPr>
            <w:r>
              <w:rPr>
                <w:rFonts w:hint="eastAsia" w:ascii="仿宋" w:hAnsi="仿宋" w:eastAsia="仿宋"/>
                <w:sz w:val="24"/>
                <w:szCs w:val="24"/>
                <w:lang w:val="zh-TW" w:eastAsia="zh-TW"/>
              </w:rPr>
              <w:t>演讲摘要：</w:t>
            </w:r>
            <w:r>
              <w:rPr>
                <w:rFonts w:hint="eastAsia" w:ascii="仿宋" w:hAnsi="仿宋" w:eastAsia="仿宋" w:cs="宋体"/>
                <w:sz w:val="24"/>
                <w:szCs w:val="24"/>
                <w:lang w:val="zh-TW" w:eastAsia="zh-TW"/>
              </w:rPr>
              <w:t>标准在产业发展中的推动作用；干细胞全产业链标准体系的初步构想；干细胞全生命周期质量保证及能力确认模式的构想。</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01"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121"/>
              <w:rPr>
                <w:rFonts w:ascii="仿宋" w:hAnsi="仿宋" w:eastAsia="仿宋"/>
              </w:rPr>
            </w:pPr>
            <w:r>
              <w:rPr>
                <w:rFonts w:ascii="仿宋" w:hAnsi="仿宋" w:eastAsia="仿宋"/>
                <w:spacing w:val="1"/>
                <w:kern w:val="0"/>
                <w:sz w:val="24"/>
                <w:szCs w:val="24"/>
              </w:rPr>
              <w:t>17:20-17:35</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rPr>
            </w:pPr>
            <w:r>
              <w:rPr>
                <w:rFonts w:hint="eastAsia" w:ascii="仿宋" w:hAnsi="仿宋" w:eastAsia="仿宋"/>
                <w:sz w:val="24"/>
                <w:szCs w:val="24"/>
                <w:lang w:val="zh-TW" w:eastAsia="zh-TW"/>
              </w:rPr>
              <w:t>讨论、答疑</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01" w:hRule="atLeast"/>
        </w:trPr>
        <w:tc>
          <w:tcPr>
            <w:tcW w:w="166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121"/>
              <w:rPr>
                <w:rFonts w:ascii="仿宋" w:hAnsi="仿宋" w:eastAsia="仿宋"/>
              </w:rPr>
            </w:pPr>
            <w:r>
              <w:rPr>
                <w:rFonts w:ascii="仿宋" w:hAnsi="仿宋" w:eastAsia="仿宋"/>
                <w:spacing w:val="1"/>
                <w:kern w:val="0"/>
                <w:sz w:val="24"/>
                <w:szCs w:val="24"/>
              </w:rPr>
              <w:t>17:35-17:40</w:t>
            </w:r>
          </w:p>
        </w:tc>
        <w:tc>
          <w:tcPr>
            <w:tcW w:w="68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仿宋" w:hAnsi="仿宋" w:eastAsia="仿宋"/>
              </w:rPr>
            </w:pPr>
            <w:r>
              <w:rPr>
                <w:rFonts w:hint="eastAsia" w:ascii="仿宋" w:hAnsi="仿宋" w:eastAsia="仿宋"/>
                <w:sz w:val="24"/>
                <w:szCs w:val="24"/>
                <w:lang w:val="zh-TW" w:eastAsia="zh-TW"/>
              </w:rPr>
              <w:t>总结发言</w:t>
            </w:r>
          </w:p>
        </w:tc>
      </w:tr>
    </w:tbl>
    <w:p>
      <w:pPr>
        <w:jc w:val="center"/>
        <w:rPr>
          <w:rFonts w:ascii="仿宋" w:hAnsi="仿宋" w:eastAsia="仿宋" w:cs="华文宋体"/>
          <w:sz w:val="30"/>
          <w:szCs w:val="30"/>
          <w:lang w:val="zh-TW" w:eastAsia="zh-TW"/>
        </w:rPr>
      </w:pPr>
    </w:p>
    <w:p>
      <w:pPr>
        <w:pStyle w:val="2"/>
        <w:keepNext w:val="0"/>
        <w:keepLines w:val="0"/>
        <w:pageBreakBefore/>
        <w:spacing w:before="0" w:after="120" w:afterLines="50" w:line="500" w:lineRule="exact"/>
        <w:ind w:firstLine="641"/>
        <w:rPr>
          <w:rFonts w:ascii="仿宋" w:hAnsi="仿宋" w:eastAsia="仿宋"/>
          <w:sz w:val="30"/>
          <w:szCs w:val="30"/>
          <w:lang w:val="zh-TW" w:eastAsia="zh-TW"/>
        </w:rPr>
      </w:pPr>
      <w:r>
        <w:rPr>
          <w:rFonts w:hint="eastAsia" w:ascii="仿宋" w:hAnsi="仿宋" w:eastAsia="仿宋"/>
          <w:sz w:val="30"/>
          <w:szCs w:val="30"/>
          <w:lang w:val="zh-TW" w:eastAsia="zh-TW"/>
        </w:rPr>
        <w:t>三、嘉宾简介（按演讲顺序）</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0" w:firstLineChars="200"/>
        <w:outlineLvl w:val="2"/>
        <w:rPr>
          <w:rFonts w:ascii="仿宋" w:hAnsi="仿宋" w:eastAsia="仿宋" w:cs="Times New Roman"/>
          <w:b/>
          <w:bCs/>
          <w:color w:val="auto"/>
          <w:sz w:val="32"/>
          <w:szCs w:val="32"/>
        </w:rPr>
      </w:pPr>
      <w:r>
        <w:rPr>
          <w:rFonts w:hint="eastAsia" w:ascii="仿宋" w:hAnsi="仿宋" w:eastAsia="仿宋" w:cs="Times New Roman"/>
          <w:color w:val="auto"/>
          <w:sz w:val="32"/>
          <w:szCs w:val="32"/>
        </w:rPr>
        <w:t>0</w:t>
      </w:r>
      <w:r>
        <w:rPr>
          <w:rFonts w:ascii="仿宋" w:hAnsi="仿宋" w:eastAsia="仿宋" w:cs="Times New Roman"/>
          <w:color w:val="auto"/>
          <w:sz w:val="32"/>
          <w:szCs w:val="32"/>
        </w:rPr>
        <w:t>1</w:t>
      </w:r>
      <w:r>
        <w:rPr>
          <w:rFonts w:hint="eastAsia" w:ascii="仿宋" w:hAnsi="仿宋" w:eastAsia="仿宋" w:cs="Times New Roman"/>
          <w:b/>
          <w:bCs/>
          <w:color w:val="auto"/>
          <w:sz w:val="32"/>
          <w:szCs w:val="32"/>
        </w:rPr>
        <w:t xml:space="preserve">王宗龄 </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rPr>
          <w:rFonts w:ascii="仿宋" w:hAnsi="仿宋" w:eastAsia="仿宋" w:cs="Times New Roman"/>
          <w:b/>
          <w:color w:val="auto"/>
          <w:sz w:val="32"/>
          <w:szCs w:val="32"/>
        </w:rPr>
      </w:pPr>
      <w:r>
        <w:rPr>
          <w:rFonts w:hint="eastAsia" w:ascii="仿宋" w:hAnsi="仿宋" w:eastAsia="仿宋" w:cs="Times New Roman"/>
          <w:b/>
          <w:color w:val="auto"/>
          <w:sz w:val="32"/>
          <w:szCs w:val="32"/>
        </w:rPr>
        <w:t>中国标准化研究院书记兼副院长</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drawing>
          <wp:anchor distT="0" distB="0" distL="114300" distR="114300" simplePos="0" relativeHeight="251662336" behindDoc="0" locked="0" layoutInCell="1" allowOverlap="1">
            <wp:simplePos x="0" y="0"/>
            <wp:positionH relativeFrom="column">
              <wp:posOffset>12700</wp:posOffset>
            </wp:positionH>
            <wp:positionV relativeFrom="paragraph">
              <wp:posOffset>57150</wp:posOffset>
            </wp:positionV>
            <wp:extent cx="1511300" cy="1763395"/>
            <wp:effectExtent l="0" t="0" r="0" b="8255"/>
            <wp:wrapSquare wrapText="bothSides"/>
            <wp:docPr id="8" name="图片 8" descr="C:\Users\45176\AppData\Local\Temp\WeChat Files\7102426230477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45176\AppData\Local\Temp\WeChat Files\710242623047748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511300" cy="1763395"/>
                    </a:xfrm>
                    <a:prstGeom prst="rect">
                      <a:avLst/>
                    </a:prstGeom>
                    <a:noFill/>
                    <a:ln>
                      <a:noFill/>
                    </a:ln>
                  </pic:spPr>
                </pic:pic>
              </a:graphicData>
            </a:graphic>
          </wp:anchor>
        </w:drawing>
      </w:r>
      <w:r>
        <w:rPr>
          <w:rFonts w:hint="eastAsia" w:ascii="仿宋" w:hAnsi="仿宋" w:eastAsia="仿宋" w:cs="Times New Roman"/>
          <w:color w:val="auto"/>
          <w:sz w:val="32"/>
          <w:szCs w:val="32"/>
        </w:rPr>
        <w:t>王宗龄，汉族，1984年8月参加工作,高级工程师，中共党员。组织国家标准化管理委员会综合性、政策性文件的起草，参与组织标准化法律法规和政策的研究与制修订。中国标准化研究院党委书记兼副院长，主持院党委工作，分管党委办公室、人力资源部、服务标准化研究所、标准评估部、联系中国技术监督情报协会。</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1"/>
        <w:outlineLvl w:val="2"/>
        <w:rPr>
          <w:rFonts w:ascii="仿宋" w:hAnsi="仿宋" w:eastAsia="仿宋" w:cs="Times New Roman"/>
          <w:b/>
          <w:bCs/>
          <w:color w:val="000000" w:themeColor="text1"/>
          <w:sz w:val="32"/>
          <w:szCs w:val="32"/>
          <w14:textFill>
            <w14:solidFill>
              <w14:schemeClr w14:val="tx1"/>
            </w14:solidFill>
          </w14:textFill>
        </w:rPr>
      </w:pPr>
      <w:r>
        <w:rPr>
          <w:rFonts w:ascii="仿宋" w:hAnsi="仿宋" w:eastAsia="仿宋" w:cs="Times New Roman"/>
          <w:b/>
          <w:bCs/>
          <w:color w:val="000000" w:themeColor="text1"/>
          <w:sz w:val="32"/>
          <w:szCs w:val="32"/>
          <w14:textFill>
            <w14:solidFill>
              <w14:schemeClr w14:val="tx1"/>
            </w14:solidFill>
          </w14:textFill>
        </w:rPr>
        <w:t xml:space="preserve">02 </w:t>
      </w:r>
      <w:r>
        <w:rPr>
          <w:rFonts w:hint="eastAsia" w:ascii="仿宋" w:hAnsi="仿宋" w:eastAsia="仿宋" w:cs="Times New Roman"/>
          <w:b/>
          <w:bCs/>
          <w:color w:val="000000" w:themeColor="text1"/>
          <w:sz w:val="32"/>
          <w:szCs w:val="32"/>
          <w14:textFill>
            <w14:solidFill>
              <w14:schemeClr w14:val="tx1"/>
            </w14:solidFill>
          </w14:textFill>
        </w:rPr>
        <w:t>陈永勤</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rPr>
          <w:rFonts w:ascii="仿宋" w:hAnsi="仿宋" w:eastAsia="仿宋" w:cs="Times New Roman"/>
          <w:b/>
          <w:color w:val="auto"/>
          <w:sz w:val="32"/>
          <w:szCs w:val="32"/>
        </w:rPr>
      </w:pPr>
      <w:r>
        <w:rPr>
          <w:rFonts w:hint="eastAsia" w:ascii="仿宋" w:hAnsi="仿宋" w:eastAsia="仿宋" w:cs="Times New Roman"/>
          <w:b/>
          <w:color w:val="auto"/>
          <w:sz w:val="32"/>
          <w:szCs w:val="32"/>
        </w:rPr>
        <w:t>美国医学与生物工程院</w:t>
      </w:r>
      <w:r>
        <w:rPr>
          <w:rFonts w:ascii="仿宋" w:hAnsi="仿宋" w:eastAsia="仿宋" w:cs="Times New Roman"/>
          <w:b/>
          <w:color w:val="auto"/>
          <w:sz w:val="32"/>
          <w:szCs w:val="32"/>
        </w:rPr>
        <w:t xml:space="preserve"> (AIMBE) </w:t>
      </w:r>
      <w:r>
        <w:rPr>
          <w:rFonts w:hint="eastAsia" w:ascii="仿宋" w:hAnsi="仿宋" w:eastAsia="仿宋" w:cs="Times New Roman"/>
          <w:b/>
          <w:color w:val="auto"/>
          <w:sz w:val="32"/>
          <w:szCs w:val="32"/>
        </w:rPr>
        <w:t>院士，丹纳赫公司贝克曼库尔特生命科学事业部首席技术官</w:t>
      </w:r>
    </w:p>
    <w:p>
      <w:pPr>
        <w:autoSpaceDE w:val="0"/>
        <w:autoSpaceDN w:val="0"/>
        <w:adjustRightInd w:val="0"/>
        <w:spacing w:after="120" w:afterLines="50" w:line="500" w:lineRule="exact"/>
        <w:ind w:firstLine="960" w:firstLineChars="300"/>
        <w:rPr>
          <w:rFonts w:ascii="仿宋" w:hAnsi="仿宋" w:eastAsia="仿宋" w:cs="Times New Roman"/>
          <w:color w:val="auto"/>
          <w:sz w:val="32"/>
          <w:szCs w:val="32"/>
        </w:rPr>
      </w:pPr>
      <w:r>
        <w:rPr>
          <w:rFonts w:ascii="仿宋" w:hAnsi="仿宋" w:eastAsia="仿宋" w:cs="Times New Roman"/>
          <w:color w:val="auto"/>
          <w:sz w:val="32"/>
          <w:szCs w:val="32"/>
        </w:rPr>
        <w:drawing>
          <wp:anchor distT="0" distB="0" distL="114300" distR="114300" simplePos="0" relativeHeight="251661312" behindDoc="0" locked="0" layoutInCell="1" allowOverlap="1">
            <wp:simplePos x="0" y="0"/>
            <wp:positionH relativeFrom="margin">
              <wp:align>left</wp:align>
            </wp:positionH>
            <wp:positionV relativeFrom="paragraph">
              <wp:posOffset>134620</wp:posOffset>
            </wp:positionV>
            <wp:extent cx="1517650" cy="1743075"/>
            <wp:effectExtent l="0" t="0" r="635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23754" cy="1750637"/>
                    </a:xfrm>
                    <a:prstGeom prst="rect">
                      <a:avLst/>
                    </a:prstGeom>
                    <a:noFill/>
                  </pic:spPr>
                </pic:pic>
              </a:graphicData>
            </a:graphic>
          </wp:anchor>
        </w:drawing>
      </w:r>
      <w:r>
        <w:rPr>
          <w:rFonts w:ascii="仿宋" w:hAnsi="仿宋" w:eastAsia="仿宋" w:cs="Times New Roman"/>
          <w:color w:val="auto"/>
          <w:sz w:val="32"/>
          <w:szCs w:val="32"/>
        </w:rPr>
        <w:t>2012</w:t>
      </w:r>
      <w:r>
        <w:rPr>
          <w:rFonts w:hint="eastAsia" w:ascii="仿宋" w:hAnsi="仿宋" w:eastAsia="仿宋" w:cs="Times New Roman"/>
          <w:color w:val="auto"/>
          <w:sz w:val="32"/>
          <w:szCs w:val="32"/>
        </w:rPr>
        <w:t>年，陈永勤博士在中国创立了赛景生物科技公司</w:t>
      </w:r>
      <w:r>
        <w:rPr>
          <w:rFonts w:ascii="仿宋" w:hAnsi="仿宋" w:eastAsia="仿宋" w:cs="Times New Roman"/>
          <w:color w:val="auto"/>
          <w:sz w:val="32"/>
          <w:szCs w:val="32"/>
        </w:rPr>
        <w:t xml:space="preserve"> (Xitogen Technologies)</w:t>
      </w:r>
      <w:r>
        <w:rPr>
          <w:rFonts w:hint="eastAsia" w:ascii="仿宋" w:hAnsi="仿宋" w:eastAsia="仿宋" w:cs="Times New Roman"/>
          <w:color w:val="auto"/>
          <w:sz w:val="32"/>
          <w:szCs w:val="32"/>
        </w:rPr>
        <w:t>并出任首席执行官兼首席技术官。该公司专注于研发具有变革意义的生命科学仪器，成立仅两年便被丹纳赫公司收购，创下了跨国集团与尚未取得收入的中国初创高新技术企业之间的并购记录。收购完成两年时间内，赛景实现了收入从零到突破</w:t>
      </w:r>
      <w:r>
        <w:rPr>
          <w:rFonts w:ascii="仿宋" w:hAnsi="仿宋" w:eastAsia="仿宋" w:cs="Times New Roman"/>
          <w:color w:val="auto"/>
          <w:sz w:val="32"/>
          <w:szCs w:val="32"/>
        </w:rPr>
        <w:t>8000</w:t>
      </w:r>
      <w:r>
        <w:rPr>
          <w:rFonts w:hint="eastAsia" w:ascii="仿宋" w:hAnsi="仿宋" w:eastAsia="仿宋" w:cs="Times New Roman"/>
          <w:color w:val="auto"/>
          <w:sz w:val="32"/>
          <w:szCs w:val="32"/>
        </w:rPr>
        <w:t>万美元的飞跃。陈永勤博士在中国出生长大，后获得美国马萨诸塞州剑桥市麻省理工学院物理化学专业的博士学位，其博士论文被美国化学学会评选为当年最佳论文，并荣获</w:t>
      </w:r>
      <w:r>
        <w:rPr>
          <w:rFonts w:ascii="仿宋" w:hAnsi="仿宋" w:eastAsia="仿宋" w:cs="Times New Roman"/>
          <w:color w:val="auto"/>
          <w:sz w:val="32"/>
          <w:szCs w:val="32"/>
        </w:rPr>
        <w:t>1990</w:t>
      </w:r>
      <w:r>
        <w:rPr>
          <w:rFonts w:hint="eastAsia" w:ascii="仿宋" w:hAnsi="仿宋" w:eastAsia="仿宋" w:cs="Times New Roman"/>
          <w:color w:val="auto"/>
          <w:sz w:val="32"/>
          <w:szCs w:val="32"/>
        </w:rPr>
        <w:t>年诺贝尔奖获得者签名奖。在南加州大学从事博士后研究工作</w:t>
      </w:r>
      <w:r>
        <w:rPr>
          <w:rFonts w:ascii="仿宋" w:hAnsi="仿宋" w:eastAsia="仿宋" w:cs="Times New Roman"/>
          <w:color w:val="auto"/>
          <w:sz w:val="32"/>
          <w:szCs w:val="32"/>
        </w:rPr>
        <w:t>2</w:t>
      </w:r>
      <w:r>
        <w:rPr>
          <w:rFonts w:hint="eastAsia" w:ascii="仿宋" w:hAnsi="仿宋" w:eastAsia="仿宋" w:cs="Times New Roman"/>
          <w:color w:val="auto"/>
          <w:sz w:val="32"/>
          <w:szCs w:val="32"/>
        </w:rPr>
        <w:t>年后，他开始担任加州大学伯克利分校化学学院的助理教授，并兼任劳伦斯伯克利国家实验室高级研究员。在伯克利工作期间，陈永勤博士创建了加州大学系统的第一个飞秒化学实验室，曾担任斯隆研究员，还荣获</w:t>
      </w:r>
      <w:r>
        <w:rPr>
          <w:rFonts w:ascii="仿宋" w:hAnsi="仿宋" w:eastAsia="仿宋" w:cs="Times New Roman"/>
          <w:color w:val="auto"/>
          <w:sz w:val="32"/>
          <w:szCs w:val="32"/>
        </w:rPr>
        <w:t xml:space="preserve"> Henry Dreyfus </w:t>
      </w:r>
      <w:r>
        <w:rPr>
          <w:rFonts w:hint="eastAsia" w:ascii="仿宋" w:hAnsi="仿宋" w:eastAsia="仿宋" w:cs="Times New Roman"/>
          <w:color w:val="auto"/>
          <w:sz w:val="32"/>
          <w:szCs w:val="32"/>
        </w:rPr>
        <w:t>青年发明家奖以及</w:t>
      </w:r>
      <w:r>
        <w:rPr>
          <w:rFonts w:ascii="仿宋" w:hAnsi="仿宋" w:eastAsia="仿宋" w:cs="Times New Roman"/>
          <w:color w:val="auto"/>
          <w:sz w:val="32"/>
          <w:szCs w:val="32"/>
        </w:rPr>
        <w:t xml:space="preserve"> NSF </w:t>
      </w:r>
      <w:r>
        <w:rPr>
          <w:rFonts w:hint="eastAsia" w:ascii="仿宋" w:hAnsi="仿宋" w:eastAsia="仿宋" w:cs="Times New Roman"/>
          <w:color w:val="auto"/>
          <w:sz w:val="32"/>
          <w:szCs w:val="32"/>
        </w:rPr>
        <w:t>美国总统杰出青年化学奖。之后，陈永勤博士加入贝尔实验室担任资深研究员，并被任命为网络系统研究部门的负责人。此后，他搬到硅谷并加入了创业公司</w:t>
      </w:r>
      <w:r>
        <w:rPr>
          <w:rFonts w:ascii="仿宋" w:hAnsi="仿宋" w:eastAsia="仿宋" w:cs="Times New Roman"/>
          <w:color w:val="auto"/>
          <w:sz w:val="32"/>
          <w:szCs w:val="32"/>
        </w:rPr>
        <w:t>XROS</w:t>
      </w:r>
      <w:r>
        <w:rPr>
          <w:rFonts w:hint="eastAsia" w:ascii="仿宋" w:hAnsi="仿宋" w:eastAsia="仿宋" w:cs="Times New Roman"/>
          <w:color w:val="auto"/>
          <w:sz w:val="32"/>
          <w:szCs w:val="32"/>
        </w:rPr>
        <w:t>，该公司后被北电网络</w:t>
      </w:r>
      <w:r>
        <w:rPr>
          <w:rFonts w:ascii="仿宋" w:hAnsi="仿宋" w:eastAsia="仿宋" w:cs="Times New Roman"/>
          <w:color w:val="auto"/>
          <w:sz w:val="32"/>
          <w:szCs w:val="32"/>
        </w:rPr>
        <w:t>(Nortel Networks)</w:t>
      </w:r>
      <w:r>
        <w:rPr>
          <w:rFonts w:hint="eastAsia" w:ascii="仿宋" w:hAnsi="仿宋" w:eastAsia="仿宋" w:cs="Times New Roman"/>
          <w:color w:val="auto"/>
          <w:sz w:val="32"/>
          <w:szCs w:val="32"/>
        </w:rPr>
        <w:t>以</w:t>
      </w:r>
      <w:r>
        <w:rPr>
          <w:rFonts w:ascii="仿宋" w:hAnsi="仿宋" w:eastAsia="仿宋" w:cs="Times New Roman"/>
          <w:color w:val="auto"/>
          <w:sz w:val="32"/>
          <w:szCs w:val="32"/>
        </w:rPr>
        <w:t>35</w:t>
      </w:r>
      <w:r>
        <w:rPr>
          <w:rFonts w:hint="eastAsia" w:ascii="仿宋" w:hAnsi="仿宋" w:eastAsia="仿宋" w:cs="Times New Roman"/>
          <w:color w:val="auto"/>
          <w:sz w:val="32"/>
          <w:szCs w:val="32"/>
        </w:rPr>
        <w:t>亿美金的价格收购。陈博士在北电网络工作期间获得了顶尖人才奖。在创立赛景之前，陈永勤博士还在</w:t>
      </w:r>
      <w:r>
        <w:rPr>
          <w:rFonts w:ascii="仿宋" w:hAnsi="仿宋" w:eastAsia="仿宋" w:cs="Times New Roman"/>
          <w:color w:val="auto"/>
          <w:sz w:val="32"/>
          <w:szCs w:val="32"/>
        </w:rPr>
        <w:t>BD Biosciences</w:t>
      </w:r>
      <w:r>
        <w:rPr>
          <w:rFonts w:hint="eastAsia" w:ascii="仿宋" w:hAnsi="仿宋" w:eastAsia="仿宋" w:cs="Times New Roman"/>
          <w:color w:val="auto"/>
          <w:sz w:val="32"/>
          <w:szCs w:val="32"/>
        </w:rPr>
        <w:t>公司担任研发经理超过</w:t>
      </w:r>
      <w:r>
        <w:rPr>
          <w:rFonts w:ascii="仿宋" w:hAnsi="仿宋" w:eastAsia="仿宋" w:cs="Times New Roman"/>
          <w:color w:val="auto"/>
          <w:sz w:val="32"/>
          <w:szCs w:val="32"/>
        </w:rPr>
        <w:t>6</w:t>
      </w:r>
      <w:r>
        <w:rPr>
          <w:rFonts w:hint="eastAsia" w:ascii="仿宋" w:hAnsi="仿宋" w:eastAsia="仿宋" w:cs="Times New Roman"/>
          <w:color w:val="auto"/>
          <w:sz w:val="32"/>
          <w:szCs w:val="32"/>
        </w:rPr>
        <w:t>年，该公司专门从事流式细胞仪试剂和仪器研发生产和销售。陈博士现已拥有超过</w:t>
      </w:r>
      <w:r>
        <w:rPr>
          <w:rFonts w:ascii="仿宋" w:hAnsi="仿宋" w:eastAsia="仿宋" w:cs="Times New Roman"/>
          <w:color w:val="auto"/>
          <w:sz w:val="32"/>
          <w:szCs w:val="32"/>
        </w:rPr>
        <w:t>20</w:t>
      </w:r>
      <w:r>
        <w:rPr>
          <w:rFonts w:hint="eastAsia" w:ascii="仿宋" w:hAnsi="仿宋" w:eastAsia="仿宋" w:cs="Times New Roman"/>
          <w:color w:val="auto"/>
          <w:sz w:val="32"/>
          <w:szCs w:val="32"/>
        </w:rPr>
        <w:t>项已获授权和待审批的美国以及国际专利，荣获丹纳赫创新金奖和贝克曼卓越创新奖。</w:t>
      </w:r>
    </w:p>
    <w:p>
      <w:pPr>
        <w:keepNext/>
        <w:keepLines/>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outlineLvl w:val="2"/>
        <w:rPr>
          <w:rFonts w:ascii="仿宋" w:hAnsi="仿宋" w:eastAsia="仿宋" w:cs="Times New Roman"/>
          <w:b/>
          <w:bCs/>
          <w:color w:val="auto"/>
          <w:sz w:val="32"/>
          <w:szCs w:val="32"/>
        </w:rPr>
      </w:pPr>
      <w:r>
        <w:rPr>
          <w:rFonts w:hint="eastAsia" w:ascii="仿宋" w:hAnsi="仿宋" w:eastAsia="仿宋" w:cs="Times New Roman"/>
          <w:b/>
          <w:bCs/>
          <w:color w:val="auto"/>
          <w:sz w:val="32"/>
          <w:szCs w:val="32"/>
        </w:rPr>
        <w:t xml:space="preserve">03王露楠 </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rPr>
          <w:rFonts w:ascii="仿宋" w:hAnsi="仿宋" w:eastAsia="仿宋" w:cs="Times New Roman"/>
          <w:b/>
          <w:color w:val="auto"/>
          <w:sz w:val="32"/>
          <w:szCs w:val="32"/>
        </w:rPr>
      </w:pPr>
      <w:r>
        <w:rPr>
          <w:rFonts w:hint="eastAsia" w:ascii="仿宋" w:hAnsi="仿宋" w:eastAsia="仿宋" w:cs="Times New Roman"/>
          <w:b/>
          <w:color w:val="auto"/>
          <w:sz w:val="32"/>
          <w:szCs w:val="32"/>
        </w:rPr>
        <w:t>卫生部临床检验中心研究员</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0" w:firstLineChars="200"/>
        <w:outlineLvl w:val="2"/>
        <w:rPr>
          <w:rFonts w:ascii="仿宋" w:hAnsi="仿宋" w:eastAsia="仿宋" w:cs="Times New Roman"/>
          <w:color w:val="auto"/>
          <w:sz w:val="32"/>
          <w:szCs w:val="32"/>
        </w:rPr>
      </w:pPr>
      <w:r>
        <w:rPr>
          <w:rFonts w:ascii="仿宋" w:hAnsi="仿宋" w:eastAsia="仿宋" w:cs="Times New Roman"/>
          <w:color w:val="auto"/>
          <w:sz w:val="32"/>
          <w:szCs w:val="32"/>
        </w:rPr>
        <w:drawing>
          <wp:anchor distT="0" distB="0" distL="114300" distR="114300" simplePos="0" relativeHeight="251665408" behindDoc="0" locked="0" layoutInCell="1" allowOverlap="1">
            <wp:simplePos x="0" y="0"/>
            <wp:positionH relativeFrom="margin">
              <wp:align>left</wp:align>
            </wp:positionH>
            <wp:positionV relativeFrom="paragraph">
              <wp:posOffset>146050</wp:posOffset>
            </wp:positionV>
            <wp:extent cx="1571625" cy="1943100"/>
            <wp:effectExtent l="0" t="0" r="9525" b="0"/>
            <wp:wrapSquare wrapText="bothSides"/>
            <wp:docPr id="3" name="图片 3" descr="C:\Users\XUQING\Desktop\20180920BT峰会\专家\照片\王露楠老师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UQING\Desktop\20180920BT峰会\专家\照片\王露楠老师 02.jpg"/>
                    <pic:cNvPicPr>
                      <a:picLocks noChangeAspect="1" noChangeArrowheads="1"/>
                    </pic:cNvPicPr>
                  </pic:nvPicPr>
                  <pic:blipFill>
                    <a:blip r:embed="rId7" cstate="print">
                      <a:extLst>
                        <a:ext uri="{28A0092B-C50C-407E-A947-70E740481C1C}">
                          <a14:useLocalDpi xmlns:a14="http://schemas.microsoft.com/office/drawing/2010/main" val="0"/>
                        </a:ext>
                      </a:extLst>
                    </a:blip>
                    <a:srcRect l="21698" r="17016" b="19433"/>
                    <a:stretch>
                      <a:fillRect/>
                    </a:stretch>
                  </pic:blipFill>
                  <pic:spPr>
                    <a:xfrm>
                      <a:off x="0" y="0"/>
                      <a:ext cx="1571625" cy="1943100"/>
                    </a:xfrm>
                    <a:prstGeom prst="rect">
                      <a:avLst/>
                    </a:prstGeom>
                    <a:noFill/>
                    <a:ln>
                      <a:noFill/>
                    </a:ln>
                  </pic:spPr>
                </pic:pic>
              </a:graphicData>
            </a:graphic>
          </wp:anchor>
        </w:drawing>
      </w:r>
      <w:r>
        <w:rPr>
          <w:rFonts w:hint="eastAsia" w:ascii="仿宋" w:hAnsi="仿宋" w:eastAsia="仿宋" w:cs="Times New Roman"/>
          <w:color w:val="auto"/>
          <w:sz w:val="32"/>
          <w:szCs w:val="32"/>
        </w:rPr>
        <w:t>王露楠，华中科技大学同济医学院免疫学博士，国家卫生部临床检验中心血液安全与免疫血液学实验室主任，研究员，国家卫生标准委员会血液标准专业委员会委员，中国输血协会TTID专业委员会副主任委员，中国医药生物技术协会生物诊断技术分会副主任委员，北京协和医学院博士生导师，厦门大学兼职教授。</w:t>
      </w:r>
      <w:r>
        <w:rPr>
          <w:rFonts w:ascii="仿宋" w:hAnsi="仿宋" w:eastAsia="仿宋" w:cs="Times New Roman"/>
          <w:color w:val="auto"/>
          <w:sz w:val="32"/>
          <w:szCs w:val="32"/>
        </w:rPr>
        <w:t>1990</w:t>
      </w:r>
      <w:r>
        <w:rPr>
          <w:rFonts w:hint="eastAsia" w:ascii="仿宋" w:hAnsi="仿宋" w:eastAsia="仿宋" w:cs="Times New Roman"/>
          <w:color w:val="auto"/>
          <w:sz w:val="32"/>
          <w:szCs w:val="32"/>
        </w:rPr>
        <w:t>年以来一直从事免疫学、分子生物学的质量控制和标准化研究工作。负责研制国家标准物质包括：乙型肝炎病毒核酸、丙型肝炎核酸、乙型肝炎病毒、丙型肝炎病毒、人类免疫缺陷病毒及梅毒螺旋体血清学标志物等。在病毒核酸检测标准化、室间质量评价的发法学、病毒核酸质评物的研制和检测系统的评价方面开展了大量研究工作，为国内临床免疫诊断、质控标准化和血液安全作出重要贡献。在国内《</w:t>
      </w:r>
      <w:r>
        <w:rPr>
          <w:rFonts w:ascii="仿宋" w:hAnsi="仿宋" w:eastAsia="仿宋" w:cs="Times New Roman"/>
          <w:color w:val="auto"/>
          <w:sz w:val="32"/>
          <w:szCs w:val="32"/>
        </w:rPr>
        <w:t>中华检验医学杂志</w:t>
      </w:r>
      <w:r>
        <w:rPr>
          <w:rFonts w:hint="eastAsia" w:ascii="仿宋" w:hAnsi="仿宋" w:eastAsia="仿宋" w:cs="Times New Roman"/>
          <w:color w:val="auto"/>
          <w:sz w:val="32"/>
          <w:szCs w:val="32"/>
        </w:rPr>
        <w:t>》、《</w:t>
      </w:r>
      <w:r>
        <w:fldChar w:fldCharType="begin"/>
      </w:r>
      <w:r>
        <w:instrText xml:space="preserve"> HYPERLINK "http://kns.cnki.net/kns/NaviBridge.aspx?bt=1&amp;DBCode=CJFD&amp;BaseID=BLOO&amp;UnitCode=&amp;NaviLink=%e4%b8%ad%e5%9b%bd%e8%be%93%e8%a1%80%e6%9d%82%e5%bf%97" \t "_blank" \o "紫色刊名为" </w:instrText>
      </w:r>
      <w:r>
        <w:fldChar w:fldCharType="separate"/>
      </w:r>
      <w:r>
        <w:rPr>
          <w:rFonts w:ascii="仿宋" w:hAnsi="仿宋" w:eastAsia="仿宋" w:cs="Times New Roman"/>
          <w:color w:val="auto"/>
          <w:sz w:val="32"/>
          <w:szCs w:val="32"/>
        </w:rPr>
        <w:t>中国输血杂志</w:t>
      </w:r>
      <w:r>
        <w:rPr>
          <w:rFonts w:ascii="仿宋" w:hAnsi="仿宋" w:eastAsia="仿宋" w:cs="Times New Roman"/>
          <w:color w:val="auto"/>
          <w:sz w:val="32"/>
          <w:szCs w:val="32"/>
        </w:rPr>
        <w:fldChar w:fldCharType="end"/>
      </w:r>
      <w:r>
        <w:rPr>
          <w:rFonts w:hint="eastAsia" w:ascii="仿宋" w:hAnsi="仿宋" w:eastAsia="仿宋" w:cs="Times New Roman"/>
          <w:color w:val="auto"/>
          <w:sz w:val="32"/>
          <w:szCs w:val="32"/>
        </w:rPr>
        <w:t>》《</w:t>
      </w:r>
      <w:r>
        <w:fldChar w:fldCharType="begin"/>
      </w:r>
      <w:r>
        <w:instrText xml:space="preserve"> HYPERLINK "http://kns.cnki.net/kns/NaviBridge.aspx?bt=1&amp;DBCode=CJFD&amp;BaseID=GWSQ&amp;UnitCode=&amp;NaviLink=%e5%9b%bd%e9%99%85%e6%a3%80%e9%aa%8c%e5%8c%bb%e5%ad%a6%e6%9d%82%e5%bf%97" \t "_blank" </w:instrText>
      </w:r>
      <w:r>
        <w:fldChar w:fldCharType="separate"/>
      </w:r>
      <w:r>
        <w:rPr>
          <w:rFonts w:ascii="仿宋" w:hAnsi="仿宋" w:eastAsia="仿宋" w:cs="Times New Roman"/>
          <w:color w:val="auto"/>
          <w:sz w:val="32"/>
          <w:szCs w:val="32"/>
        </w:rPr>
        <w:t>国际检验医学杂志</w:t>
      </w:r>
      <w:r>
        <w:rPr>
          <w:rFonts w:ascii="仿宋" w:hAnsi="仿宋" w:eastAsia="仿宋" w:cs="Times New Roman"/>
          <w:color w:val="auto"/>
          <w:sz w:val="32"/>
          <w:szCs w:val="32"/>
        </w:rPr>
        <w:fldChar w:fldCharType="end"/>
      </w:r>
      <w:r>
        <w:rPr>
          <w:rFonts w:hint="eastAsia" w:ascii="仿宋" w:hAnsi="仿宋" w:eastAsia="仿宋" w:cs="Times New Roman"/>
          <w:color w:val="auto"/>
          <w:sz w:val="32"/>
          <w:szCs w:val="32"/>
        </w:rPr>
        <w:t>》等核心期刊发表20余篇学术成果。参与项目多次获得北京市科技进步奖、中华医学科技奖、中华预防医学会科学技术奖。</w:t>
      </w:r>
    </w:p>
    <w:p>
      <w:pPr>
        <w:keepNext/>
        <w:keepLines/>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outlineLvl w:val="2"/>
        <w:rPr>
          <w:rFonts w:ascii="仿宋" w:hAnsi="仿宋" w:eastAsia="仿宋" w:cs="Times New Roman"/>
          <w:b/>
          <w:bCs/>
          <w:color w:val="auto"/>
          <w:sz w:val="32"/>
          <w:szCs w:val="32"/>
        </w:rPr>
      </w:pPr>
      <w:r>
        <w:rPr>
          <w:rFonts w:hint="eastAsia" w:ascii="仿宋" w:hAnsi="仿宋" w:eastAsia="仿宋" w:cs="Times New Roman"/>
          <w:b/>
          <w:bCs/>
          <w:color w:val="auto"/>
          <w:sz w:val="32"/>
          <w:szCs w:val="32"/>
        </w:rPr>
        <w:t xml:space="preserve">04 Lothar Willmitzer（洛萨·威尔米策） </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rPr>
          <w:rFonts w:ascii="仿宋" w:hAnsi="仿宋" w:eastAsia="仿宋" w:cs="Times New Roman"/>
          <w:b/>
          <w:color w:val="auto"/>
          <w:sz w:val="32"/>
          <w:szCs w:val="32"/>
        </w:rPr>
      </w:pPr>
      <w:r>
        <w:rPr>
          <w:rFonts w:hint="eastAsia" w:ascii="仿宋" w:hAnsi="仿宋" w:eastAsia="仿宋" w:cs="Times New Roman"/>
          <w:b/>
          <w:color w:val="auto"/>
          <w:sz w:val="32"/>
          <w:szCs w:val="32"/>
        </w:rPr>
        <w:t>欧洲学术研究院院士，德国科学院院士</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drawing>
          <wp:anchor distT="0" distB="0" distL="114300" distR="114300" simplePos="0" relativeHeight="251664384" behindDoc="0" locked="0" layoutInCell="1" allowOverlap="1">
            <wp:simplePos x="0" y="0"/>
            <wp:positionH relativeFrom="margin">
              <wp:align>left</wp:align>
            </wp:positionH>
            <wp:positionV relativeFrom="paragraph">
              <wp:posOffset>63500</wp:posOffset>
            </wp:positionV>
            <wp:extent cx="1530350" cy="1725930"/>
            <wp:effectExtent l="0" t="0" r="0" b="7620"/>
            <wp:wrapSquare wrapText="bothSides"/>
            <wp:docPr id="2" name="图片 2" descr="C:\Users\XUQING\Desktop\20180920BT峰会\专家\照片\LOTHAR WILLMIT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XUQING\Desktop\20180920BT峰会\专家\照片\LOTHAR WILLMITZER.jpg"/>
                    <pic:cNvPicPr>
                      <a:picLocks noChangeAspect="1" noChangeArrowheads="1"/>
                    </pic:cNvPicPr>
                  </pic:nvPicPr>
                  <pic:blipFill>
                    <a:blip r:embed="rId8" cstate="print">
                      <a:extLst>
                        <a:ext uri="{28A0092B-C50C-407E-A947-70E740481C1C}">
                          <a14:useLocalDpi xmlns:a14="http://schemas.microsoft.com/office/drawing/2010/main" val="0"/>
                        </a:ext>
                      </a:extLst>
                    </a:blip>
                    <a:srcRect l="19428" r="21473"/>
                    <a:stretch>
                      <a:fillRect/>
                    </a:stretch>
                  </pic:blipFill>
                  <pic:spPr>
                    <a:xfrm>
                      <a:off x="0" y="0"/>
                      <a:ext cx="1536465" cy="1733174"/>
                    </a:xfrm>
                    <a:prstGeom prst="rect">
                      <a:avLst/>
                    </a:prstGeom>
                    <a:noFill/>
                    <a:ln>
                      <a:noFill/>
                    </a:ln>
                  </pic:spPr>
                </pic:pic>
              </a:graphicData>
            </a:graphic>
          </wp:anchor>
        </w:drawing>
      </w:r>
      <w:r>
        <w:rPr>
          <w:rFonts w:hint="eastAsia" w:ascii="仿宋" w:hAnsi="仿宋" w:eastAsia="仿宋" w:cs="Times New Roman"/>
          <w:color w:val="auto"/>
          <w:sz w:val="32"/>
          <w:szCs w:val="32"/>
        </w:rPr>
        <w:t xml:space="preserve"> Lothar Willmitzer（洛萨·威米策），院士，</w:t>
      </w:r>
      <w:r>
        <w:rPr>
          <w:rFonts w:ascii="仿宋" w:hAnsi="仿宋" w:eastAsia="仿宋" w:cs="Times New Roman"/>
          <w:color w:val="auto"/>
          <w:sz w:val="32"/>
          <w:szCs w:val="32"/>
        </w:rPr>
        <w:t>1977</w:t>
      </w:r>
      <w:r>
        <w:rPr>
          <w:rFonts w:hint="eastAsia" w:ascii="仿宋" w:hAnsi="仿宋" w:eastAsia="仿宋" w:cs="Times New Roman"/>
          <w:color w:val="auto"/>
          <w:sz w:val="32"/>
          <w:szCs w:val="32"/>
        </w:rPr>
        <w:t>年毕业生物技术研究中心，布伦瑞克工业大学，获得博士学位。</w:t>
      </w:r>
      <w:r>
        <w:rPr>
          <w:rFonts w:ascii="仿宋" w:hAnsi="仿宋" w:eastAsia="仿宋" w:cs="Times New Roman"/>
          <w:color w:val="auto"/>
          <w:sz w:val="32"/>
          <w:szCs w:val="32"/>
        </w:rPr>
        <w:t>1994</w:t>
      </w:r>
      <w:r>
        <w:rPr>
          <w:rFonts w:hint="eastAsia" w:ascii="仿宋" w:hAnsi="仿宋" w:eastAsia="仿宋" w:cs="Times New Roman"/>
          <w:color w:val="auto"/>
          <w:sz w:val="32"/>
          <w:szCs w:val="32"/>
        </w:rPr>
        <w:t>至今，担任波茨坦德国德国马克斯·普朗克研究院植物分子生理研究所所长（创所所长），波茨坦大学教授，欧洲学术研究院，德国科学院院士，欧洲分子生物学组织（EMBO）院士，柏林科学院院士及指导委员会委员。Willmitzer教授在植物生理学、植物生物技术和代谢组学领域享有国际盛誉；是代谢组学领域的先锋科学家之一。迄今共发表超过300篇论文和学术著作，包括Nature，Science，Cell，新英格兰医学杂志等顶级学术期刊；申请专利近50项。成功创立了多家创新型生物技术企业</w:t>
      </w:r>
      <w:r>
        <w:rPr>
          <w:rFonts w:ascii="仿宋" w:hAnsi="仿宋" w:eastAsia="仿宋" w:cs="Times New Roman"/>
          <w:color w:val="auto"/>
          <w:sz w:val="32"/>
          <w:szCs w:val="32"/>
        </w:rPr>
        <w:t>。1981</w:t>
      </w:r>
      <w:r>
        <w:rPr>
          <w:rFonts w:hint="eastAsia" w:ascii="仿宋" w:hAnsi="仿宋" w:eastAsia="仿宋" w:cs="Times New Roman"/>
          <w:color w:val="auto"/>
          <w:sz w:val="32"/>
          <w:szCs w:val="32"/>
        </w:rPr>
        <w:t>年获得马克斯</w:t>
      </w:r>
      <w:r>
        <w:rPr>
          <w:rFonts w:hint="eastAsia" w:ascii="微软雅黑" w:hAnsi="微软雅黑" w:eastAsia="微软雅黑" w:cs="微软雅黑"/>
          <w:color w:val="auto"/>
          <w:sz w:val="32"/>
          <w:szCs w:val="32"/>
        </w:rPr>
        <w:t>•</w:t>
      </w:r>
      <w:r>
        <w:rPr>
          <w:rFonts w:hint="eastAsia" w:ascii="仿宋" w:hAnsi="仿宋" w:eastAsia="仿宋" w:cs="Times New Roman"/>
          <w:color w:val="auto"/>
          <w:sz w:val="32"/>
          <w:szCs w:val="32"/>
        </w:rPr>
        <w:t>普朗克协会</w:t>
      </w:r>
      <w:r>
        <w:rPr>
          <w:rFonts w:ascii="仿宋" w:hAnsi="仿宋" w:eastAsia="仿宋" w:cs="Times New Roman"/>
          <w:color w:val="auto"/>
          <w:sz w:val="32"/>
          <w:szCs w:val="32"/>
        </w:rPr>
        <w:t>Otto-Hahn</w:t>
      </w:r>
      <w:r>
        <w:rPr>
          <w:rFonts w:hint="eastAsia" w:ascii="仿宋" w:hAnsi="仿宋" w:eastAsia="仿宋" w:cs="Times New Roman"/>
          <w:color w:val="auto"/>
          <w:sz w:val="32"/>
          <w:szCs w:val="32"/>
        </w:rPr>
        <w:t>奖，</w:t>
      </w:r>
      <w:r>
        <w:rPr>
          <w:rFonts w:ascii="仿宋" w:hAnsi="仿宋" w:eastAsia="仿宋" w:cs="Times New Roman"/>
          <w:color w:val="auto"/>
          <w:sz w:val="32"/>
          <w:szCs w:val="32"/>
        </w:rPr>
        <w:t>1984</w:t>
      </w:r>
      <w:r>
        <w:rPr>
          <w:rFonts w:hint="eastAsia" w:ascii="仿宋" w:hAnsi="仿宋" w:eastAsia="仿宋" w:cs="Times New Roman"/>
          <w:color w:val="auto"/>
          <w:sz w:val="32"/>
          <w:szCs w:val="32"/>
        </w:rPr>
        <w:t>年获得马克斯</w:t>
      </w:r>
      <w:r>
        <w:rPr>
          <w:rFonts w:hint="eastAsia" w:ascii="微软雅黑" w:hAnsi="微软雅黑" w:eastAsia="微软雅黑" w:cs="微软雅黑"/>
          <w:color w:val="auto"/>
          <w:sz w:val="32"/>
          <w:szCs w:val="32"/>
        </w:rPr>
        <w:t>•</w:t>
      </w:r>
      <w:r>
        <w:rPr>
          <w:rFonts w:hint="eastAsia" w:ascii="仿宋" w:hAnsi="仿宋" w:eastAsia="仿宋" w:cs="Times New Roman"/>
          <w:color w:val="auto"/>
          <w:sz w:val="32"/>
          <w:szCs w:val="32"/>
        </w:rPr>
        <w:t>普朗克协会马克斯</w:t>
      </w:r>
      <w:r>
        <w:rPr>
          <w:rFonts w:hint="eastAsia" w:ascii="微软雅黑" w:hAnsi="微软雅黑" w:eastAsia="微软雅黑" w:cs="微软雅黑"/>
          <w:color w:val="auto"/>
          <w:sz w:val="32"/>
          <w:szCs w:val="32"/>
        </w:rPr>
        <w:t>•</w:t>
      </w:r>
      <w:r>
        <w:rPr>
          <w:rFonts w:hint="eastAsia" w:ascii="仿宋" w:hAnsi="仿宋" w:eastAsia="仿宋" w:cs="Times New Roman"/>
          <w:color w:val="auto"/>
          <w:sz w:val="32"/>
          <w:szCs w:val="32"/>
        </w:rPr>
        <w:t>普朗克奖</w:t>
      </w:r>
      <w:r>
        <w:rPr>
          <w:rFonts w:ascii="仿宋" w:hAnsi="仿宋" w:eastAsia="仿宋" w:cs="Times New Roman"/>
          <w:color w:val="auto"/>
          <w:sz w:val="32"/>
          <w:szCs w:val="32"/>
        </w:rPr>
        <w:t>，1998</w:t>
      </w:r>
      <w:r>
        <w:rPr>
          <w:rFonts w:hint="eastAsia" w:ascii="仿宋" w:hAnsi="仿宋" w:eastAsia="仿宋" w:cs="Times New Roman"/>
          <w:color w:val="auto"/>
          <w:sz w:val="32"/>
          <w:szCs w:val="32"/>
        </w:rPr>
        <w:t>年获得马克斯</w:t>
      </w:r>
      <w:r>
        <w:rPr>
          <w:rFonts w:hint="eastAsia" w:ascii="微软雅黑" w:hAnsi="微软雅黑" w:eastAsia="微软雅黑" w:cs="微软雅黑"/>
          <w:color w:val="auto"/>
          <w:sz w:val="32"/>
          <w:szCs w:val="32"/>
        </w:rPr>
        <w:t>•</w:t>
      </w:r>
      <w:r>
        <w:rPr>
          <w:rFonts w:hint="eastAsia" w:ascii="仿宋" w:hAnsi="仿宋" w:eastAsia="仿宋" w:cs="Times New Roman"/>
          <w:color w:val="auto"/>
          <w:sz w:val="32"/>
          <w:szCs w:val="32"/>
        </w:rPr>
        <w:t>毕希纳研究基金会</w:t>
      </w:r>
      <w:r>
        <w:rPr>
          <w:rFonts w:ascii="仿宋" w:hAnsi="仿宋" w:eastAsia="仿宋" w:cs="Times New Roman"/>
          <w:color w:val="auto"/>
          <w:sz w:val="32"/>
          <w:szCs w:val="32"/>
        </w:rPr>
        <w:t>DECHEMA</w:t>
      </w:r>
      <w:r>
        <w:rPr>
          <w:rFonts w:hint="eastAsia" w:ascii="仿宋" w:hAnsi="仿宋" w:eastAsia="仿宋" w:cs="Times New Roman"/>
          <w:color w:val="auto"/>
          <w:sz w:val="32"/>
          <w:szCs w:val="32"/>
        </w:rPr>
        <w:t>奖</w:t>
      </w:r>
      <w:r>
        <w:rPr>
          <w:rFonts w:ascii="仿宋" w:hAnsi="仿宋" w:eastAsia="仿宋" w:cs="Times New Roman"/>
          <w:color w:val="auto"/>
          <w:sz w:val="32"/>
          <w:szCs w:val="32"/>
        </w:rPr>
        <w:t>，1999</w:t>
      </w:r>
      <w:r>
        <w:rPr>
          <w:rFonts w:hint="eastAsia" w:ascii="仿宋" w:hAnsi="仿宋" w:eastAsia="仿宋" w:cs="Times New Roman"/>
          <w:color w:val="auto"/>
          <w:sz w:val="32"/>
          <w:szCs w:val="32"/>
        </w:rPr>
        <w:t>年获得</w:t>
      </w:r>
      <w:r>
        <w:rPr>
          <w:rFonts w:ascii="仿宋" w:hAnsi="仿宋" w:eastAsia="仿宋" w:cs="Times New Roman"/>
          <w:color w:val="auto"/>
          <w:sz w:val="32"/>
          <w:szCs w:val="32"/>
        </w:rPr>
        <w:t>Karl-Heiz-Beckurts</w:t>
      </w:r>
      <w:r>
        <w:rPr>
          <w:rFonts w:hint="eastAsia" w:ascii="仿宋" w:hAnsi="仿宋" w:eastAsia="仿宋" w:cs="Times New Roman"/>
          <w:color w:val="auto"/>
          <w:sz w:val="32"/>
          <w:szCs w:val="32"/>
        </w:rPr>
        <w:t>奖。</w:t>
      </w:r>
    </w:p>
    <w:p>
      <w:pPr>
        <w:pStyle w:val="2"/>
        <w:spacing w:before="0" w:after="120" w:afterLines="50" w:line="500" w:lineRule="exact"/>
        <w:ind w:firstLine="643"/>
        <w:rPr>
          <w:rFonts w:ascii="仿宋" w:hAnsi="仿宋" w:eastAsia="仿宋" w:cs="Times New Roman"/>
          <w:color w:val="auto"/>
        </w:rPr>
      </w:pPr>
      <w:r>
        <w:rPr>
          <w:rFonts w:hint="eastAsia" w:ascii="仿宋" w:hAnsi="仿宋" w:eastAsia="仿宋" w:cs="Times New Roman"/>
          <w:color w:val="auto"/>
        </w:rPr>
        <w:t>05</w:t>
      </w:r>
      <w:r>
        <w:rPr>
          <w:rFonts w:ascii="仿宋" w:hAnsi="仿宋" w:eastAsia="仿宋" w:cs="Times New Roman"/>
          <w:color w:val="auto"/>
        </w:rPr>
        <w:t>赵同标</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rPr>
          <w:rFonts w:ascii="仿宋" w:hAnsi="仿宋" w:eastAsia="仿宋" w:cs="Times New Roman"/>
          <w:b/>
          <w:color w:val="auto"/>
          <w:sz w:val="32"/>
          <w:szCs w:val="32"/>
        </w:rPr>
      </w:pPr>
      <w:r>
        <w:rPr>
          <w:rFonts w:ascii="仿宋" w:hAnsi="仿宋" w:eastAsia="仿宋" w:cs="Times New Roman"/>
          <w:b/>
          <w:color w:val="auto"/>
          <w:sz w:val="32"/>
          <w:szCs w:val="32"/>
        </w:rPr>
        <w:t>博士</w:t>
      </w:r>
      <w:r>
        <w:rPr>
          <w:rFonts w:hint="eastAsia" w:ascii="仿宋" w:hAnsi="仿宋" w:eastAsia="仿宋" w:cs="Times New Roman"/>
          <w:b/>
          <w:color w:val="auto"/>
          <w:sz w:val="32"/>
          <w:szCs w:val="32"/>
        </w:rPr>
        <w:t>，</w:t>
      </w:r>
      <w:r>
        <w:rPr>
          <w:rFonts w:ascii="仿宋" w:hAnsi="仿宋" w:eastAsia="仿宋" w:cs="Times New Roman"/>
          <w:b/>
          <w:color w:val="auto"/>
          <w:sz w:val="32"/>
          <w:szCs w:val="32"/>
        </w:rPr>
        <w:t>研究员，</w:t>
      </w:r>
      <w:r>
        <w:rPr>
          <w:rFonts w:hint="eastAsia" w:ascii="仿宋" w:hAnsi="仿宋" w:eastAsia="仿宋" w:cs="Times New Roman"/>
          <w:b/>
          <w:color w:val="auto"/>
          <w:sz w:val="32"/>
          <w:szCs w:val="32"/>
        </w:rPr>
        <w:t>中国科学院动物研究所干细胞与生殖生物学国家重点实验室</w:t>
      </w:r>
      <w:r>
        <w:rPr>
          <w:rFonts w:ascii="仿宋" w:hAnsi="仿宋" w:eastAsia="仿宋" w:cs="Times New Roman"/>
          <w:b/>
          <w:color w:val="auto"/>
          <w:sz w:val="32"/>
          <w:szCs w:val="32"/>
        </w:rPr>
        <w:t>干细胞与免疫学研究组组长</w:t>
      </w:r>
      <w:r>
        <w:rPr>
          <w:rFonts w:hint="eastAsia" w:ascii="仿宋" w:hAnsi="仿宋" w:eastAsia="仿宋" w:cs="Times New Roman"/>
          <w:b/>
          <w:color w:val="auto"/>
          <w:sz w:val="32"/>
          <w:szCs w:val="32"/>
        </w:rPr>
        <w:t>；中国科学院大学岗位教授</w:t>
      </w:r>
    </w:p>
    <w:p>
      <w:pPr>
        <w:autoSpaceDE w:val="0"/>
        <w:autoSpaceDN w:val="0"/>
        <w:adjustRightInd w:val="0"/>
        <w:spacing w:after="120" w:afterLines="50" w:line="5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drawing>
          <wp:anchor distT="0" distB="0" distL="114300" distR="114300" simplePos="0" relativeHeight="251663360" behindDoc="0" locked="0" layoutInCell="1" allowOverlap="1">
            <wp:simplePos x="0" y="0"/>
            <wp:positionH relativeFrom="margin">
              <wp:align>left</wp:align>
            </wp:positionH>
            <wp:positionV relativeFrom="paragraph">
              <wp:posOffset>12700</wp:posOffset>
            </wp:positionV>
            <wp:extent cx="1524000" cy="1961515"/>
            <wp:effectExtent l="0" t="0" r="0" b="635"/>
            <wp:wrapSquare wrapText="bothSides"/>
            <wp:docPr id="7" name="图片 7" descr="C:\Users\45176\AppData\Local\Temp\WeChat Files\48429121381526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45176\AppData\Local\Temp\WeChat Files\4842912138152689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55799" cy="2002801"/>
                    </a:xfrm>
                    <a:prstGeom prst="rect">
                      <a:avLst/>
                    </a:prstGeom>
                    <a:noFill/>
                    <a:ln>
                      <a:noFill/>
                    </a:ln>
                  </pic:spPr>
                </pic:pic>
              </a:graphicData>
            </a:graphic>
          </wp:anchor>
        </w:drawing>
      </w:r>
      <w:r>
        <w:rPr>
          <w:rFonts w:ascii="仿宋" w:hAnsi="仿宋" w:eastAsia="仿宋" w:cs="Times New Roman"/>
          <w:color w:val="auto"/>
          <w:sz w:val="32"/>
          <w:szCs w:val="32"/>
        </w:rPr>
        <w:t>2004</w:t>
      </w:r>
      <w:r>
        <w:rPr>
          <w:rFonts w:hint="eastAsia" w:ascii="仿宋" w:hAnsi="仿宋" w:eastAsia="仿宋" w:cs="Times New Roman"/>
          <w:color w:val="auto"/>
          <w:sz w:val="32"/>
          <w:szCs w:val="32"/>
        </w:rPr>
        <w:t xml:space="preserve"> </w:t>
      </w:r>
      <w:r>
        <w:rPr>
          <w:rFonts w:ascii="仿宋" w:hAnsi="仿宋" w:eastAsia="仿宋" w:cs="Times New Roman"/>
          <w:color w:val="auto"/>
          <w:sz w:val="32"/>
          <w:szCs w:val="32"/>
        </w:rPr>
        <w:t>年毕业于中科院</w:t>
      </w:r>
      <w:r>
        <w:rPr>
          <w:rFonts w:hint="eastAsia" w:ascii="仿宋" w:hAnsi="仿宋" w:eastAsia="仿宋" w:cs="Times New Roman"/>
          <w:color w:val="auto"/>
          <w:sz w:val="32"/>
          <w:szCs w:val="32"/>
        </w:rPr>
        <w:t>西高</w:t>
      </w:r>
      <w:r>
        <w:rPr>
          <w:rFonts w:ascii="仿宋" w:hAnsi="仿宋" w:eastAsia="仿宋" w:cs="Times New Roman"/>
          <w:color w:val="auto"/>
          <w:sz w:val="32"/>
          <w:szCs w:val="32"/>
        </w:rPr>
        <w:t>所获博士学位，进</w:t>
      </w:r>
      <w:r>
        <w:rPr>
          <w:rFonts w:hint="eastAsia" w:ascii="仿宋" w:hAnsi="仿宋" w:eastAsia="仿宋" w:cs="Times New Roman"/>
          <w:color w:val="auto"/>
          <w:sz w:val="32"/>
          <w:szCs w:val="32"/>
        </w:rPr>
        <w:t>入</w:t>
      </w:r>
      <w:r>
        <w:rPr>
          <w:rFonts w:ascii="仿宋" w:hAnsi="仿宋" w:eastAsia="仿宋" w:cs="Times New Roman"/>
          <w:color w:val="auto"/>
          <w:sz w:val="32"/>
          <w:szCs w:val="32"/>
        </w:rPr>
        <w:t>中科院生物物理所博士后流动站从事免疫学研究</w:t>
      </w:r>
      <w:r>
        <w:rPr>
          <w:rFonts w:hint="eastAsia" w:ascii="仿宋" w:hAnsi="仿宋" w:eastAsia="仿宋" w:cs="Times New Roman"/>
          <w:color w:val="auto"/>
          <w:sz w:val="32"/>
          <w:szCs w:val="32"/>
        </w:rPr>
        <w:t>，</w:t>
      </w:r>
      <w:r>
        <w:rPr>
          <w:rFonts w:ascii="仿宋" w:hAnsi="仿宋" w:eastAsia="仿宋" w:cs="Times New Roman"/>
          <w:color w:val="auto"/>
          <w:sz w:val="32"/>
          <w:szCs w:val="32"/>
        </w:rPr>
        <w:t>2006</w:t>
      </w:r>
      <w:r>
        <w:rPr>
          <w:rFonts w:hint="eastAsia" w:ascii="仿宋" w:hAnsi="仿宋" w:eastAsia="仿宋" w:cs="Times New Roman"/>
          <w:color w:val="auto"/>
          <w:sz w:val="32"/>
          <w:szCs w:val="32"/>
        </w:rPr>
        <w:t xml:space="preserve"> </w:t>
      </w:r>
      <w:r>
        <w:rPr>
          <w:rFonts w:ascii="仿宋" w:hAnsi="仿宋" w:eastAsia="仿宋" w:cs="Times New Roman"/>
          <w:color w:val="auto"/>
          <w:sz w:val="32"/>
          <w:szCs w:val="32"/>
        </w:rPr>
        <w:t>年获</w:t>
      </w:r>
      <w:r>
        <w:rPr>
          <w:rFonts w:hint="eastAsia" w:ascii="仿宋" w:hAnsi="仿宋" w:eastAsia="仿宋" w:cs="Times New Roman"/>
          <w:color w:val="auto"/>
          <w:sz w:val="32"/>
          <w:szCs w:val="32"/>
        </w:rPr>
        <w:t>该</w:t>
      </w:r>
      <w:r>
        <w:rPr>
          <w:rFonts w:ascii="仿宋" w:hAnsi="仿宋" w:eastAsia="仿宋" w:cs="Times New Roman"/>
          <w:color w:val="auto"/>
          <w:sz w:val="32"/>
          <w:szCs w:val="32"/>
        </w:rPr>
        <w:t>所副研究员任职资格；2007 年至2010 年在加</w:t>
      </w:r>
      <w:r>
        <w:rPr>
          <w:rFonts w:hint="eastAsia" w:ascii="仿宋" w:hAnsi="仿宋" w:eastAsia="仿宋" w:cs="Times New Roman"/>
          <w:color w:val="auto"/>
          <w:sz w:val="32"/>
          <w:szCs w:val="32"/>
        </w:rPr>
        <w:t>州</w:t>
      </w:r>
      <w:r>
        <w:rPr>
          <w:rFonts w:ascii="仿宋" w:hAnsi="仿宋" w:eastAsia="仿宋" w:cs="Times New Roman"/>
          <w:color w:val="auto"/>
          <w:sz w:val="32"/>
          <w:szCs w:val="32"/>
        </w:rPr>
        <w:t>大学圣地亚哥分校做博士后，从事诱导多能干细胞研究</w:t>
      </w:r>
      <w:r>
        <w:rPr>
          <w:rFonts w:hint="eastAsia" w:ascii="仿宋" w:hAnsi="仿宋" w:eastAsia="仿宋" w:cs="Times New Roman"/>
          <w:color w:val="auto"/>
          <w:sz w:val="32"/>
          <w:szCs w:val="32"/>
        </w:rPr>
        <w:t>，</w:t>
      </w:r>
      <w:r>
        <w:rPr>
          <w:rFonts w:ascii="仿宋" w:hAnsi="仿宋" w:eastAsia="仿宋" w:cs="Times New Roman"/>
          <w:color w:val="auto"/>
          <w:sz w:val="32"/>
          <w:szCs w:val="32"/>
        </w:rPr>
        <w:t>2010 年任该校Assistant Specialist III</w:t>
      </w:r>
      <w:r>
        <w:rPr>
          <w:rFonts w:hint="eastAsia" w:ascii="仿宋" w:hAnsi="仿宋" w:eastAsia="仿宋" w:cs="Times New Roman"/>
          <w:color w:val="auto"/>
          <w:sz w:val="32"/>
          <w:szCs w:val="32"/>
        </w:rPr>
        <w:t>；</w:t>
      </w:r>
      <w:r>
        <w:rPr>
          <w:rFonts w:ascii="仿宋" w:hAnsi="仿宋" w:eastAsia="仿宋" w:cs="Times New Roman"/>
          <w:color w:val="auto"/>
          <w:sz w:val="32"/>
          <w:szCs w:val="32"/>
        </w:rPr>
        <w:t>2012年</w:t>
      </w:r>
      <w:r>
        <w:rPr>
          <w:rFonts w:hint="eastAsia" w:ascii="仿宋" w:hAnsi="仿宋" w:eastAsia="仿宋" w:cs="Times New Roman"/>
          <w:color w:val="auto"/>
          <w:sz w:val="32"/>
          <w:szCs w:val="32"/>
        </w:rPr>
        <w:t>加入中科院动物研究所，组建干细胞与免疫学实验室。在</w:t>
      </w:r>
      <w:r>
        <w:rPr>
          <w:rFonts w:ascii="仿宋" w:hAnsi="仿宋" w:eastAsia="仿宋" w:cs="Times New Roman"/>
          <w:color w:val="auto"/>
          <w:sz w:val="32"/>
          <w:szCs w:val="32"/>
        </w:rPr>
        <w:t>Autophagy</w:t>
      </w:r>
      <w:r>
        <w:rPr>
          <w:rFonts w:hint="eastAsia" w:ascii="仿宋" w:hAnsi="仿宋" w:eastAsia="仿宋" w:cs="Times New Roman"/>
          <w:color w:val="auto"/>
          <w:sz w:val="32"/>
          <w:szCs w:val="32"/>
        </w:rPr>
        <w:t>、Cell Death Differ、</w:t>
      </w:r>
      <w:r>
        <w:rPr>
          <w:rFonts w:ascii="仿宋" w:hAnsi="仿宋" w:eastAsia="仿宋" w:cs="Times New Roman"/>
          <w:color w:val="auto"/>
          <w:sz w:val="32"/>
          <w:szCs w:val="32"/>
        </w:rPr>
        <w:t>Cell Stem Cell</w:t>
      </w:r>
      <w:r>
        <w:rPr>
          <w:rFonts w:hint="eastAsia" w:ascii="仿宋" w:hAnsi="仿宋" w:eastAsia="仿宋" w:cs="Times New Roman"/>
          <w:color w:val="auto"/>
          <w:sz w:val="32"/>
          <w:szCs w:val="32"/>
        </w:rPr>
        <w:t>、</w:t>
      </w:r>
      <w:r>
        <w:rPr>
          <w:rFonts w:ascii="仿宋" w:hAnsi="仿宋" w:eastAsia="仿宋" w:cs="Times New Roman"/>
          <w:color w:val="auto"/>
          <w:sz w:val="32"/>
          <w:szCs w:val="32"/>
        </w:rPr>
        <w:t>Nature</w:t>
      </w:r>
      <w:r>
        <w:rPr>
          <w:rFonts w:hint="eastAsia" w:ascii="仿宋" w:hAnsi="仿宋" w:eastAsia="仿宋" w:cs="Times New Roman"/>
          <w:color w:val="auto"/>
          <w:sz w:val="32"/>
          <w:szCs w:val="32"/>
        </w:rPr>
        <w:t>等国际主流杂志发表多篇论文。目前为中国细胞生物学学会干细胞生物学分会委员，中华医学会组织修复与再生分会青年委员，担任国际标准化组织/生物技术委员会（ISO/TC276）专家，参与筹建中国生物技术标准化技术委员会；组建了中国细胞生物学学会干细胞生物学分会标准工作组，组织撰写了多项国际、国内干细胞标准草案，发布了我国首个干细胞通用标准-《干细胞通用要求》。</w:t>
      </w:r>
    </w:p>
    <w:p>
      <w:pPr>
        <w:keepNext/>
        <w:keepLines/>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outlineLvl w:val="2"/>
        <w:rPr>
          <w:rFonts w:ascii="仿宋" w:hAnsi="仿宋" w:eastAsia="仿宋" w:cs="Times New Roman"/>
          <w:b/>
          <w:bCs/>
          <w:color w:val="auto"/>
          <w:sz w:val="32"/>
          <w:szCs w:val="32"/>
        </w:rPr>
      </w:pPr>
      <w:r>
        <w:rPr>
          <w:rFonts w:ascii="仿宋" w:hAnsi="仿宋" w:eastAsia="仿宋" w:cs="Times New Roman"/>
          <w:b/>
          <w:bCs/>
          <w:color w:val="auto"/>
          <w:sz w:val="32"/>
          <w:szCs w:val="32"/>
        </w:rPr>
        <w:t xml:space="preserve">06李明 </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rPr>
          <w:rFonts w:ascii="仿宋" w:hAnsi="仿宋" w:eastAsia="仿宋" w:cs="Times New Roman"/>
          <w:b/>
          <w:color w:val="auto"/>
          <w:sz w:val="32"/>
          <w:szCs w:val="32"/>
        </w:rPr>
      </w:pPr>
      <w:r>
        <w:rPr>
          <w:rFonts w:ascii="仿宋" w:hAnsi="仿宋" w:eastAsia="仿宋" w:cs="Times New Roman"/>
          <w:b/>
          <w:color w:val="auto"/>
          <w:sz w:val="32"/>
          <w:szCs w:val="32"/>
        </w:rPr>
        <w:t>中国质量认证中心（CQC）体系认证管理部首席专家，高级工程师</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drawing>
          <wp:anchor distT="0" distB="0" distL="114300" distR="114300" simplePos="0" relativeHeight="251659264" behindDoc="0" locked="0" layoutInCell="1" allowOverlap="1">
            <wp:simplePos x="0" y="0"/>
            <wp:positionH relativeFrom="margin">
              <wp:align>left</wp:align>
            </wp:positionH>
            <wp:positionV relativeFrom="paragraph">
              <wp:posOffset>6350</wp:posOffset>
            </wp:positionV>
            <wp:extent cx="1524000" cy="19050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81472" cy="2101840"/>
                    </a:xfrm>
                    <a:prstGeom prst="rect">
                      <a:avLst/>
                    </a:prstGeom>
                  </pic:spPr>
                </pic:pic>
              </a:graphicData>
            </a:graphic>
          </wp:anchor>
        </w:drawing>
      </w:r>
      <w:r>
        <w:rPr>
          <w:rFonts w:ascii="仿宋" w:hAnsi="仿宋" w:eastAsia="仿宋" w:cs="Times New Roman"/>
          <w:color w:val="auto"/>
          <w:sz w:val="32"/>
          <w:szCs w:val="32"/>
        </w:rPr>
        <w:t>吉林大学MBA，质量管理体系（QMS）国家注册审核员、美国质量学会（ASQ）注册六西格玛黑带（CSSBB），2015版以及2008版GB/T19001标准起草人之一，CQC审核员培训教师，CQC物流服务认证审查员培训教师，IQNet SR10 社会责任管理体系审核员培训教师、ISO26000社会责任报告审验准则编写人、人力资源</w:t>
      </w:r>
      <w:r>
        <w:rPr>
          <w:rFonts w:hint="eastAsia" w:ascii="仿宋" w:hAnsi="仿宋" w:eastAsia="仿宋" w:cs="Times New Roman"/>
          <w:color w:val="auto"/>
          <w:sz w:val="32"/>
          <w:szCs w:val="32"/>
          <w:lang w:val="en-US" w:eastAsia="zh-CN"/>
        </w:rPr>
        <w:t>和</w:t>
      </w:r>
      <w:bookmarkStart w:id="0" w:name="_GoBack"/>
      <w:bookmarkEnd w:id="0"/>
      <w:r>
        <w:rPr>
          <w:rFonts w:ascii="仿宋" w:hAnsi="仿宋" w:eastAsia="仿宋" w:cs="Times New Roman"/>
          <w:color w:val="auto"/>
          <w:sz w:val="32"/>
          <w:szCs w:val="32"/>
        </w:rPr>
        <w:t>社会保障部认可质量经理资深导师。长期从事质量管理相关标准的制定、技术研究以及审核、培训等工作，对质量管理体系、社会责任管理体系、约束理论等有深刻的理解。质量管理体系（QMS）领域主要工作成果：GB/T19000-2015质量管理体系基本概念与原则（国标）以及GB/T19001-2015质量管理体系要求（国标）标准的起草者；GB/T 19001-2008质量管理体系要求（国标）标准起草者；全国统一标准宣贯教材《ISO9001:2008标准理解与实施》编写者；全国统一标准宣贯教材《ISO9001:2015标准理解与实施》编写者；中国认证认可协会（CCAA）QMS国家注册审核员考试题库编写者；CCAA QMS审核员持续培训课程体系开发者；CQC过程方法审核课题；CQC 研发与创新管理体系标准起草者。</w:t>
      </w:r>
    </w:p>
    <w:p>
      <w:pPr>
        <w:keepNext/>
        <w:keepLines/>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outlineLvl w:val="2"/>
        <w:rPr>
          <w:rFonts w:ascii="仿宋" w:hAnsi="仿宋" w:eastAsia="仿宋" w:cs="Times New Roman"/>
          <w:b/>
          <w:bCs/>
          <w:color w:val="auto"/>
          <w:sz w:val="32"/>
          <w:szCs w:val="32"/>
        </w:rPr>
      </w:pPr>
      <w:r>
        <w:rPr>
          <w:rFonts w:ascii="仿宋" w:hAnsi="仿宋" w:eastAsia="仿宋" w:cs="Times New Roman"/>
          <w:b/>
          <w:bCs/>
          <w:color w:val="auto"/>
          <w:sz w:val="32"/>
          <w:szCs w:val="32"/>
        </w:rPr>
        <w:t xml:space="preserve">07 刘沐芸 </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3" w:firstLineChars="200"/>
        <w:rPr>
          <w:rFonts w:ascii="仿宋" w:hAnsi="仿宋" w:eastAsia="仿宋" w:cs="Times New Roman"/>
          <w:b/>
          <w:color w:val="auto"/>
          <w:sz w:val="32"/>
          <w:szCs w:val="32"/>
        </w:rPr>
      </w:pPr>
      <w:r>
        <w:rPr>
          <w:rFonts w:ascii="仿宋" w:hAnsi="仿宋" w:eastAsia="仿宋" w:cs="Times New Roman"/>
          <w:b/>
          <w:color w:val="auto"/>
          <w:sz w:val="32"/>
          <w:szCs w:val="32"/>
        </w:rPr>
        <w:t>个体化细胞治疗技术国家地方联合工程实验室主任</w:t>
      </w:r>
    </w:p>
    <w:p>
      <w:pPr>
        <w:pBdr>
          <w:top w:val="none" w:color="auto" w:sz="0" w:space="0"/>
          <w:left w:val="none" w:color="auto" w:sz="0" w:space="0"/>
          <w:bottom w:val="none" w:color="auto" w:sz="0" w:space="0"/>
          <w:right w:val="none" w:color="auto" w:sz="0" w:space="0"/>
          <w:between w:val="none" w:color="auto" w:sz="0" w:space="0"/>
        </w:pBdr>
        <w:spacing w:after="120" w:afterLines="50" w:line="5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drawing>
          <wp:anchor distT="0" distB="0" distL="114300" distR="114300" simplePos="0" relativeHeight="251660288" behindDoc="0" locked="0" layoutInCell="1" allowOverlap="1">
            <wp:simplePos x="0" y="0"/>
            <wp:positionH relativeFrom="margin">
              <wp:align>left</wp:align>
            </wp:positionH>
            <wp:positionV relativeFrom="paragraph">
              <wp:posOffset>196850</wp:posOffset>
            </wp:positionV>
            <wp:extent cx="1581150" cy="2057400"/>
            <wp:effectExtent l="0" t="0" r="0" b="0"/>
            <wp:wrapSquare wrapText="bothSides"/>
            <wp:docPr id="13" name="图片 13" descr="C:\Users\45176\AppData\Local\Temp\WeChat Files\88579132477001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45176\AppData\Local\Temp\WeChat Files\8857913247700181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81150" cy="2057400"/>
                    </a:xfrm>
                    <a:prstGeom prst="rect">
                      <a:avLst/>
                    </a:prstGeom>
                    <a:noFill/>
                    <a:ln>
                      <a:noFill/>
                    </a:ln>
                  </pic:spPr>
                </pic:pic>
              </a:graphicData>
            </a:graphic>
          </wp:anchor>
        </w:drawing>
      </w:r>
      <w:r>
        <w:rPr>
          <w:rFonts w:ascii="仿宋" w:hAnsi="仿宋" w:eastAsia="仿宋" w:cs="Times New Roman"/>
          <w:color w:val="auto"/>
          <w:sz w:val="32"/>
          <w:szCs w:val="32"/>
        </w:rPr>
        <w:t>刘沐芸，女，理学博士，</w:t>
      </w:r>
      <w:r>
        <w:rPr>
          <w:rFonts w:hint="eastAsia" w:ascii="仿宋" w:hAnsi="仿宋" w:eastAsia="仿宋" w:cs="Times New Roman"/>
          <w:color w:val="auto"/>
          <w:sz w:val="32"/>
          <w:szCs w:val="32"/>
        </w:rPr>
        <w:t>毕业于中山大学，</w:t>
      </w:r>
      <w:r>
        <w:rPr>
          <w:rFonts w:ascii="仿宋" w:hAnsi="仿宋" w:eastAsia="仿宋" w:cs="Times New Roman"/>
          <w:color w:val="auto"/>
          <w:sz w:val="32"/>
          <w:szCs w:val="32"/>
        </w:rPr>
        <w:t>2017</w:t>
      </w:r>
      <w:r>
        <w:rPr>
          <w:rFonts w:hint="eastAsia" w:ascii="仿宋" w:hAnsi="仿宋" w:eastAsia="仿宋" w:cs="Times New Roman"/>
          <w:color w:val="auto"/>
          <w:sz w:val="32"/>
          <w:szCs w:val="32"/>
        </w:rPr>
        <w:t>年获得中山大学博士学位。</w:t>
      </w:r>
      <w:r>
        <w:rPr>
          <w:rFonts w:ascii="仿宋" w:hAnsi="仿宋" w:eastAsia="仿宋" w:cs="Times New Roman"/>
          <w:color w:val="auto"/>
          <w:sz w:val="32"/>
          <w:szCs w:val="32"/>
        </w:rPr>
        <w:t>个体化细胞治疗技术国家地方联合工程实验室主任，</w:t>
      </w:r>
      <w:r>
        <w:rPr>
          <w:rFonts w:hint="eastAsia" w:ascii="仿宋" w:hAnsi="仿宋" w:eastAsia="仿宋" w:cs="Times New Roman"/>
          <w:color w:val="auto"/>
          <w:sz w:val="32"/>
          <w:szCs w:val="32"/>
        </w:rPr>
        <w:t>生物科技有限公司执行总裁，</w:t>
      </w:r>
      <w:r>
        <w:rPr>
          <w:rFonts w:ascii="仿宋" w:hAnsi="仿宋" w:eastAsia="仿宋" w:cs="Times New Roman"/>
          <w:color w:val="auto"/>
          <w:sz w:val="32"/>
          <w:szCs w:val="32"/>
        </w:rPr>
        <w:t>新华社瞭望智库中国医药国策专家委员会委员，中国（深圳）综合开发研究院公共经济研究所副所长，中国医药城科研发展顾问，深圳市地方领军人才。作为发起人之一，创办《中华细胞与干细胞》杂志。作为新华社瞭望智库中国医药国策专家委员会委员，2015-2018两会为细胞治疗领域健康可持续发展建策建言。</w:t>
      </w:r>
      <w:r>
        <w:rPr>
          <w:rFonts w:hint="eastAsia" w:ascii="仿宋" w:hAnsi="仿宋" w:eastAsia="仿宋" w:cs="Times New Roman"/>
          <w:color w:val="auto"/>
          <w:sz w:val="32"/>
          <w:szCs w:val="32"/>
        </w:rPr>
        <w:t>作为产业政策研究专家，主笔参与深圳市政府战略性新兴产业以及未来产业中长期发展规划纲要。从事生物医药、细胞治疗技术等相关行业的技术研发、管理等十余年，取得以下成果：①完成多种来源干细胞规模化制备工艺、长距离运输和保存、干细胞分化调控等技术研发，先后申请了国内外专利</w:t>
      </w:r>
      <w:r>
        <w:rPr>
          <w:rFonts w:ascii="仿宋" w:hAnsi="仿宋" w:eastAsia="仿宋" w:cs="Times New Roman"/>
          <w:color w:val="auto"/>
          <w:sz w:val="32"/>
          <w:szCs w:val="32"/>
        </w:rPr>
        <w:t xml:space="preserve">18 </w:t>
      </w:r>
      <w:r>
        <w:rPr>
          <w:rFonts w:hint="eastAsia" w:ascii="仿宋" w:hAnsi="仿宋" w:eastAsia="仿宋" w:cs="Times New Roman"/>
          <w:color w:val="auto"/>
          <w:sz w:val="32"/>
          <w:szCs w:val="32"/>
        </w:rPr>
        <w:t>项。②</w:t>
      </w:r>
      <w:r>
        <w:rPr>
          <w:rFonts w:ascii="仿宋" w:hAnsi="仿宋" w:eastAsia="仿宋" w:cs="Times New Roman"/>
          <w:color w:val="auto"/>
          <w:sz w:val="32"/>
          <w:szCs w:val="32"/>
        </w:rPr>
        <w:t xml:space="preserve">863 </w:t>
      </w:r>
      <w:r>
        <w:rPr>
          <w:rFonts w:hint="eastAsia" w:ascii="仿宋" w:hAnsi="仿宋" w:eastAsia="仿宋" w:cs="Times New Roman"/>
          <w:color w:val="auto"/>
          <w:sz w:val="32"/>
          <w:szCs w:val="32"/>
        </w:rPr>
        <w:t>项目经冠状动脉注射人脐带华通氏间充质干细胞治疗急性心梗的双盲、随机、对照试验研究成果于</w:t>
      </w:r>
      <w:r>
        <w:rPr>
          <w:rFonts w:ascii="仿宋" w:hAnsi="仿宋" w:eastAsia="仿宋" w:cs="Times New Roman"/>
          <w:color w:val="auto"/>
          <w:sz w:val="32"/>
          <w:szCs w:val="32"/>
        </w:rPr>
        <w:t xml:space="preserve"> 2015 </w:t>
      </w:r>
      <w:r>
        <w:rPr>
          <w:rFonts w:hint="eastAsia" w:ascii="仿宋" w:hAnsi="仿宋" w:eastAsia="仿宋" w:cs="Times New Roman"/>
          <w:color w:val="auto"/>
          <w:sz w:val="32"/>
          <w:szCs w:val="32"/>
        </w:rPr>
        <w:t>年</w:t>
      </w:r>
      <w:r>
        <w:rPr>
          <w:rFonts w:ascii="仿宋" w:hAnsi="仿宋" w:eastAsia="仿宋" w:cs="Times New Roman"/>
          <w:color w:val="auto"/>
          <w:sz w:val="32"/>
          <w:szCs w:val="32"/>
        </w:rPr>
        <w:t xml:space="preserve">7 </w:t>
      </w:r>
      <w:r>
        <w:rPr>
          <w:rFonts w:hint="eastAsia" w:ascii="仿宋" w:hAnsi="仿宋" w:eastAsia="仿宋" w:cs="Times New Roman"/>
          <w:color w:val="auto"/>
          <w:sz w:val="32"/>
          <w:szCs w:val="32"/>
        </w:rPr>
        <w:t>月发表在国际知名医学杂志《</w:t>
      </w:r>
      <w:r>
        <w:rPr>
          <w:rFonts w:ascii="仿宋" w:hAnsi="仿宋" w:eastAsia="仿宋" w:cs="Times New Roman"/>
          <w:color w:val="auto"/>
          <w:sz w:val="32"/>
          <w:szCs w:val="32"/>
        </w:rPr>
        <w:t>BMC Medicine</w:t>
      </w:r>
      <w:r>
        <w:rPr>
          <w:rFonts w:hint="eastAsia" w:ascii="仿宋" w:hAnsi="仿宋" w:eastAsia="仿宋" w:cs="Times New Roman"/>
          <w:color w:val="auto"/>
          <w:sz w:val="32"/>
          <w:szCs w:val="32"/>
        </w:rPr>
        <w:t>》上。</w:t>
      </w:r>
      <w:r>
        <w:rPr>
          <w:rFonts w:ascii="仿宋" w:hAnsi="仿宋" w:eastAsia="仿宋" w:cs="Times New Roman"/>
          <w:color w:val="auto"/>
          <w:sz w:val="32"/>
          <w:szCs w:val="32"/>
        </w:rPr>
        <w:t xml:space="preserve"> </w:t>
      </w:r>
      <w:r>
        <w:rPr>
          <w:rFonts w:hint="eastAsia" w:ascii="仿宋" w:hAnsi="仿宋" w:eastAsia="仿宋" w:cs="Times New Roman"/>
          <w:color w:val="auto"/>
          <w:sz w:val="32"/>
          <w:szCs w:val="32"/>
        </w:rPr>
        <w:t>③致力于干细胞再生医学技术从实验室到临床应用的一系列标准、规范和体系的建立与完善。重点参与了</w:t>
      </w:r>
      <w:r>
        <w:rPr>
          <w:rFonts w:ascii="仿宋" w:hAnsi="仿宋" w:eastAsia="仿宋" w:cs="Times New Roman"/>
          <w:color w:val="auto"/>
          <w:sz w:val="32"/>
          <w:szCs w:val="32"/>
        </w:rPr>
        <w:t xml:space="preserve"> AABB </w:t>
      </w:r>
      <w:r>
        <w:rPr>
          <w:rFonts w:hint="eastAsia" w:ascii="仿宋" w:hAnsi="仿宋" w:eastAsia="仿宋" w:cs="Times New Roman"/>
          <w:color w:val="auto"/>
          <w:sz w:val="32"/>
          <w:szCs w:val="32"/>
        </w:rPr>
        <w:t>脐带间充质干细胞库全球标准的形成和认定。</w:t>
      </w:r>
      <w:r>
        <w:rPr>
          <w:rFonts w:ascii="仿宋" w:hAnsi="仿宋" w:eastAsia="仿宋" w:cs="Times New Roman"/>
          <w:color w:val="auto"/>
          <w:sz w:val="32"/>
          <w:szCs w:val="32"/>
        </w:rPr>
        <w:t xml:space="preserve"> </w:t>
      </w:r>
    </w:p>
    <w:sectPr>
      <w:footerReference r:id="rId3"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Arial"/>
    <w:panose1 w:val="00000000000000000000"/>
    <w:charset w:val="00"/>
    <w:family w:val="roman"/>
    <w:pitch w:val="default"/>
    <w:sig w:usb0="00000000" w:usb1="00000000" w:usb2="00000000" w:usb3="00000000" w:csb0="00000000" w:csb1="00000000"/>
  </w:font>
  <w:font w:name="华文宋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8280"/>
        <w:tab w:val="clear" w:pos="8306"/>
      </w:tabs>
      <w:jc w:val="center"/>
    </w:pPr>
    <w:r>
      <w:rPr>
        <w:lang w:val="zh-TW" w:eastAsia="zh-TW"/>
      </w:rPr>
      <w:t xml:space="preserve"> </w:t>
    </w:r>
    <w:r>
      <w:rPr>
        <w:b/>
        <w:bCs/>
      </w:rPr>
      <w:fldChar w:fldCharType="begin"/>
    </w:r>
    <w:r>
      <w:rPr>
        <w:b/>
        <w:bCs/>
      </w:rPr>
      <w:instrText xml:space="preserve"> PAGE </w:instrText>
    </w:r>
    <w:r>
      <w:rPr>
        <w:b/>
        <w:bCs/>
      </w:rPr>
      <w:fldChar w:fldCharType="separate"/>
    </w:r>
    <w:r>
      <w:rPr>
        <w:b/>
        <w:bCs/>
      </w:rPr>
      <w:t>1</w:t>
    </w:r>
    <w:r>
      <w:rPr>
        <w:b/>
        <w:bCs/>
      </w:rPr>
      <w:fldChar w:fldCharType="end"/>
    </w:r>
    <w:r>
      <w:rPr>
        <w:lang w:val="zh-TW" w:eastAsia="zh-TW"/>
      </w:rPr>
      <w:t xml:space="preserve"> / </w:t>
    </w:r>
    <w:r>
      <w:rPr>
        <w:b/>
        <w:bCs/>
      </w:rPr>
      <w:fldChar w:fldCharType="begin"/>
    </w:r>
    <w:r>
      <w:rPr>
        <w:b/>
        <w:bCs/>
      </w:rPr>
      <w:instrText xml:space="preserve"> NUMPAGES </w:instrText>
    </w:r>
    <w:r>
      <w:rPr>
        <w:b/>
        <w:bCs/>
      </w:rPr>
      <w:fldChar w:fldCharType="separate"/>
    </w:r>
    <w:r>
      <w:rPr>
        <w:b/>
        <w:bCs/>
      </w:rPr>
      <w:t>10</w:t>
    </w:r>
    <w:r>
      <w:rPr>
        <w:b/>
        <w:bCs/>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iZWJkMTQxYzRhYTRiZWE2MDU3ZGQwMGM3MDhhNDAifQ=="/>
  </w:docVars>
  <w:rsids>
    <w:rsidRoot w:val="00254564"/>
    <w:rsid w:val="00035DC2"/>
    <w:rsid w:val="00040376"/>
    <w:rsid w:val="00065632"/>
    <w:rsid w:val="0006599A"/>
    <w:rsid w:val="000912EA"/>
    <w:rsid w:val="000A070D"/>
    <w:rsid w:val="000C2CDB"/>
    <w:rsid w:val="000E4F3E"/>
    <w:rsid w:val="000F070D"/>
    <w:rsid w:val="00110F5E"/>
    <w:rsid w:val="00136543"/>
    <w:rsid w:val="00161691"/>
    <w:rsid w:val="0017761E"/>
    <w:rsid w:val="001A15B6"/>
    <w:rsid w:val="001B3163"/>
    <w:rsid w:val="001C07FD"/>
    <w:rsid w:val="001D118F"/>
    <w:rsid w:val="001D7140"/>
    <w:rsid w:val="001E6EDA"/>
    <w:rsid w:val="00212289"/>
    <w:rsid w:val="002262D4"/>
    <w:rsid w:val="00235331"/>
    <w:rsid w:val="002369C0"/>
    <w:rsid w:val="002418C8"/>
    <w:rsid w:val="0024191A"/>
    <w:rsid w:val="0024711F"/>
    <w:rsid w:val="00254564"/>
    <w:rsid w:val="002A30F9"/>
    <w:rsid w:val="002B0B8D"/>
    <w:rsid w:val="002C5C89"/>
    <w:rsid w:val="002F1AAF"/>
    <w:rsid w:val="002F1ACF"/>
    <w:rsid w:val="0034295B"/>
    <w:rsid w:val="00345472"/>
    <w:rsid w:val="00351827"/>
    <w:rsid w:val="0037715E"/>
    <w:rsid w:val="003C2BB5"/>
    <w:rsid w:val="003C7C62"/>
    <w:rsid w:val="003F7E21"/>
    <w:rsid w:val="0040192E"/>
    <w:rsid w:val="004127F7"/>
    <w:rsid w:val="004266C4"/>
    <w:rsid w:val="004533B5"/>
    <w:rsid w:val="004555BD"/>
    <w:rsid w:val="00466872"/>
    <w:rsid w:val="00470B7B"/>
    <w:rsid w:val="004A1115"/>
    <w:rsid w:val="00511AF3"/>
    <w:rsid w:val="0051769F"/>
    <w:rsid w:val="005663DD"/>
    <w:rsid w:val="005918F7"/>
    <w:rsid w:val="005C2729"/>
    <w:rsid w:val="005C4B9E"/>
    <w:rsid w:val="005E56C6"/>
    <w:rsid w:val="005E7C3F"/>
    <w:rsid w:val="005F3A1D"/>
    <w:rsid w:val="005F5DCE"/>
    <w:rsid w:val="006158C4"/>
    <w:rsid w:val="00653562"/>
    <w:rsid w:val="006726EA"/>
    <w:rsid w:val="006921C0"/>
    <w:rsid w:val="006A15DB"/>
    <w:rsid w:val="006D5853"/>
    <w:rsid w:val="006F33CB"/>
    <w:rsid w:val="007673A8"/>
    <w:rsid w:val="00777DA3"/>
    <w:rsid w:val="007C54CF"/>
    <w:rsid w:val="007C54F5"/>
    <w:rsid w:val="007E20E1"/>
    <w:rsid w:val="007E3FEF"/>
    <w:rsid w:val="007F252C"/>
    <w:rsid w:val="007F53B9"/>
    <w:rsid w:val="00846EA9"/>
    <w:rsid w:val="00866714"/>
    <w:rsid w:val="00882783"/>
    <w:rsid w:val="00930590"/>
    <w:rsid w:val="009317E1"/>
    <w:rsid w:val="00961CC4"/>
    <w:rsid w:val="00983ACF"/>
    <w:rsid w:val="009B67FF"/>
    <w:rsid w:val="009D40A8"/>
    <w:rsid w:val="00A14406"/>
    <w:rsid w:val="00A42B54"/>
    <w:rsid w:val="00A4338A"/>
    <w:rsid w:val="00AD2915"/>
    <w:rsid w:val="00AF232C"/>
    <w:rsid w:val="00B36A87"/>
    <w:rsid w:val="00B441CC"/>
    <w:rsid w:val="00B6166E"/>
    <w:rsid w:val="00B668CA"/>
    <w:rsid w:val="00B700B0"/>
    <w:rsid w:val="00BB0CD3"/>
    <w:rsid w:val="00BD0CF0"/>
    <w:rsid w:val="00BE7394"/>
    <w:rsid w:val="00BF5293"/>
    <w:rsid w:val="00C0700B"/>
    <w:rsid w:val="00C428FF"/>
    <w:rsid w:val="00C53A46"/>
    <w:rsid w:val="00C7394A"/>
    <w:rsid w:val="00CB0B88"/>
    <w:rsid w:val="00CE18AA"/>
    <w:rsid w:val="00D7437B"/>
    <w:rsid w:val="00D91F6C"/>
    <w:rsid w:val="00D97E7B"/>
    <w:rsid w:val="00DA4E36"/>
    <w:rsid w:val="00DC50BB"/>
    <w:rsid w:val="00DC518A"/>
    <w:rsid w:val="00E0716E"/>
    <w:rsid w:val="00E5520C"/>
    <w:rsid w:val="00EB10EB"/>
    <w:rsid w:val="00EF7698"/>
    <w:rsid w:val="00F0213D"/>
    <w:rsid w:val="00F2454A"/>
    <w:rsid w:val="00F905E1"/>
    <w:rsid w:val="00F92D05"/>
    <w:rsid w:val="00F96B75"/>
    <w:rsid w:val="00FC386A"/>
    <w:rsid w:val="00FE46DB"/>
    <w:rsid w:val="33AC4F8B"/>
    <w:rsid w:val="34D66759"/>
    <w:rsid w:val="4EE07EA5"/>
    <w:rsid w:val="5D4D2E97"/>
    <w:rsid w:val="68560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u w:color="000000"/>
      <w:lang w:val="en-US" w:eastAsia="zh-CN" w:bidi="ar-SA"/>
    </w:rPr>
  </w:style>
  <w:style w:type="paragraph" w:styleId="2">
    <w:name w:val="heading 3"/>
    <w:basedOn w:val="1"/>
    <w:next w:val="1"/>
    <w:link w:val="13"/>
    <w:unhideWhenUsed/>
    <w:qFormat/>
    <w:uiPriority w:val="9"/>
    <w:pPr>
      <w:keepNext/>
      <w:keepLines/>
      <w:spacing w:before="260" w:after="260" w:line="416" w:lineRule="auto"/>
      <w:outlineLvl w:val="2"/>
    </w:pPr>
    <w:rPr>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autoRedefine/>
    <w:semiHidden/>
    <w:unhideWhenUsed/>
    <w:qFormat/>
    <w:uiPriority w:val="99"/>
    <w:rPr>
      <w:sz w:val="18"/>
      <w:szCs w:val="18"/>
    </w:rPr>
  </w:style>
  <w:style w:type="paragraph" w:styleId="4">
    <w:name w:val="footer"/>
    <w:qFormat/>
    <w:uiPriority w:val="0"/>
    <w:pPr>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qFormat/>
    <w:uiPriority w:val="0"/>
    <w:rPr>
      <w:u w:val="single"/>
    </w:rPr>
  </w:style>
  <w:style w:type="table" w:customStyle="1" w:styleId="9">
    <w:name w:val="Table Normal"/>
    <w:qFormat/>
    <w:uiPriority w:val="0"/>
    <w:tblPr>
      <w:tblCellMar>
        <w:top w:w="0" w:type="dxa"/>
        <w:left w:w="0" w:type="dxa"/>
        <w:bottom w:w="0" w:type="dxa"/>
        <w:right w:w="0" w:type="dxa"/>
      </w:tblCellMar>
    </w:tblPr>
  </w:style>
  <w:style w:type="paragraph" w:customStyle="1" w:styleId="10">
    <w:name w:val="页眉与页脚"/>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11">
    <w:name w:val="页眉 Char"/>
    <w:basedOn w:val="7"/>
    <w:link w:val="5"/>
    <w:qFormat/>
    <w:uiPriority w:val="99"/>
    <w:rPr>
      <w:rFonts w:ascii="Calibri" w:hAnsi="Calibri" w:eastAsia="Calibri" w:cs="Calibri"/>
      <w:color w:val="000000"/>
      <w:kern w:val="2"/>
      <w:sz w:val="18"/>
      <w:szCs w:val="18"/>
      <w:u w:color="000000"/>
    </w:rPr>
  </w:style>
  <w:style w:type="character" w:customStyle="1" w:styleId="12">
    <w:name w:val="批注框文本 Char"/>
    <w:basedOn w:val="7"/>
    <w:link w:val="3"/>
    <w:semiHidden/>
    <w:qFormat/>
    <w:uiPriority w:val="99"/>
    <w:rPr>
      <w:rFonts w:ascii="Calibri" w:hAnsi="Calibri" w:eastAsia="Calibri" w:cs="Calibri"/>
      <w:color w:val="000000"/>
      <w:kern w:val="2"/>
      <w:sz w:val="18"/>
      <w:szCs w:val="18"/>
      <w:u w:color="000000"/>
    </w:rPr>
  </w:style>
  <w:style w:type="character" w:customStyle="1" w:styleId="13">
    <w:name w:val="标题 3 Char"/>
    <w:basedOn w:val="7"/>
    <w:link w:val="2"/>
    <w:qFormat/>
    <w:uiPriority w:val="9"/>
    <w:rPr>
      <w:rFonts w:ascii="Calibri" w:hAnsi="Calibri" w:eastAsia="Calibri" w:cs="Calibri"/>
      <w:b/>
      <w:bCs/>
      <w:color w:val="000000"/>
      <w:kern w:val="2"/>
      <w:sz w:val="32"/>
      <w:szCs w:val="32"/>
      <w:u w:color="000000"/>
    </w:rPr>
  </w:style>
  <w:style w:type="character" w:customStyle="1" w:styleId="14">
    <w:name w:val="ca-4"/>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B3E1A-44AD-45C8-A654-64ABA23D45AE}">
  <ds:schemaRefs/>
</ds:datastoreItem>
</file>

<file path=docProps/app.xml><?xml version="1.0" encoding="utf-8"?>
<Properties xmlns="http://schemas.openxmlformats.org/officeDocument/2006/extended-properties" xmlns:vt="http://schemas.openxmlformats.org/officeDocument/2006/docPropsVTypes">
  <Template>Normal</Template>
  <Pages>10</Pages>
  <Words>4806</Words>
  <Characters>5381</Characters>
  <Lines>42</Lines>
  <Paragraphs>11</Paragraphs>
  <TotalTime>218</TotalTime>
  <ScaleCrop>false</ScaleCrop>
  <LinksUpToDate>false</LinksUpToDate>
  <CharactersWithSpaces>5439</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2018-09-14T07:12:00Z</dcterms:created>
  <dc:creator>Qing</dc:creator>
  <cp:lastModifiedBy>꯭久꯭别꯭重꯭逢꯭</cp:lastModifiedBy>
  <cp:lastPrinted>2018-09-06T00:58:00Z</cp:lastPrinted>
  <dcterms:modified xsi:type="dcterms:W3CDTF">2024-04-30T07:05:43Z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EF4AA6B34B924BC8BC986A98BFC5620E_13</vt:lpwstr>
  </property>
</Properties>
</file>