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7C" w:rsidRDefault="0075367C" w:rsidP="0075367C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项目列表</w:t>
      </w:r>
    </w:p>
    <w:tbl>
      <w:tblPr>
        <w:tblStyle w:val="a3"/>
        <w:tblW w:w="88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516"/>
        <w:gridCol w:w="1609"/>
      </w:tblGrid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Wearable Devices：Mudra-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腕戴式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2"/>
              </w:rPr>
              <w:t>手势识别装置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Reali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</w:t>
            </w: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RealiteQ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-端到端实时基于 Web 的远程控制和 SCADA 系统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Neteera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：用于无接触生命体征检测和监测的微型雷达生物传感器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Eagantu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</w:t>
            </w: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ACoN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（非对称耦合网络）的突破性技术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Continuity：</w:t>
            </w: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AvailabilityGuard</w:t>
            </w:r>
            <w:proofErr w:type="spellEnd"/>
            <w:r>
              <w:rPr>
                <w:rFonts w:ascii="宋体" w:hAnsi="宋体" w:cs="宋体" w:hint="eastAsia"/>
                <w:color w:val="000000"/>
                <w:sz w:val="22"/>
              </w:rPr>
              <w:t>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保障混合</w:t>
            </w: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 xml:space="preserve"> IT 弹性软件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InProjetech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：低成本移动</w:t>
            </w:r>
            <w:proofErr w:type="gram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试剂盒对过敏</w:t>
            </w:r>
            <w:proofErr w:type="gram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症的自我治疗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Saguna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：多址边缘计算（MEC）解决方案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Proacts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：为现代移动互联网和社交网络提供完整安全的解决方案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hint="eastAsia"/>
                <w:color w:val="000000"/>
                <w:sz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InfiniDome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</w:t>
            </w: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GPSdome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-防止干扰和欺骗的基于GPS的系统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hint="eastAsia"/>
                <w:color w:val="000000"/>
                <w:sz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 xml:space="preserve">OTM：世界上唯一的随笔数字笔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信息通信技术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Newsight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 xml:space="preserve"> Imaging：CMOS 图像传感器芯片技术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Next Plus：智能制造和智能维护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Diagsense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：机械系统和管道的预测性维护解决方案&amp;机械系统优化-能耗效率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UJett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 xml:space="preserve"> D.P.：在眼镜镜片上印刷光学涂层的数字 3D 打印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Integrated Systems：ST200 可编程送喷砂机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M.I.R：MIR Integral 智能工厂运营管理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OOS：电子商务商店（基于通用制造技术）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hint="eastAsia"/>
                <w:color w:val="000000"/>
                <w:sz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Zalirian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：超硬材料的自动化加工</w:t>
            </w: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ab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hint="eastAsia"/>
                <w:color w:val="000000"/>
                <w:sz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Integrated Systems：ST200可编程送喷砂机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hint="eastAsia"/>
                <w:color w:val="000000"/>
                <w:sz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Librimind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：金属矿区的流程优化和管理平台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智能制造领域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Nano Textile：抗菌单步纳米涂层工艺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Elminda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：基于脑电图的认知评估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RenalSense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：Clarity RMS 关键护理监控系统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CoreBone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：生物活性骨移植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BELKIN Laser：用于治疗青光眼的有源医用激光器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Synoia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：美容装置与一次性化妆品胶囊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Magentiq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 xml:space="preserve"> Eye：APDS 胃肠道自动息肉检测系统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Append Medical：经导管植入术预防非瓣膜性心房颤动患者的中风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HIL Applied Medical：针对癌症质子疗法的超压缩、高性能系统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Forconti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-Medical：</w:t>
            </w: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Contix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-大便失禁管理系统(FIMS)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  <w:tr w:rsidR="0075367C" w:rsidTr="0075367C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Microsoft YaHei UI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Vectorious</w:t>
            </w:r>
            <w:proofErr w:type="spellEnd"/>
            <w:r>
              <w:rPr>
                <w:rFonts w:ascii="仿宋_GB2312" w:eastAsia="仿宋_GB2312" w:hAnsi="Microsoft YaHei UI" w:hint="eastAsia"/>
                <w:color w:val="000000"/>
                <w:sz w:val="22"/>
              </w:rPr>
              <w:t>：微型植入式左心房监测器 V-LAP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C" w:rsidRDefault="0075367C">
            <w:pPr>
              <w:rPr>
                <w:rFonts w:ascii="仿宋_GB2312" w:eastAsia="仿宋_GB2312" w:hAnsi="等线" w:cs="宋体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生命科学领域</w:t>
            </w:r>
          </w:p>
        </w:tc>
      </w:tr>
    </w:tbl>
    <w:p w:rsidR="00C37F76" w:rsidRPr="0075367C" w:rsidRDefault="0075367C" w:rsidP="0075367C">
      <w:bookmarkStart w:id="0" w:name="_GoBack"/>
      <w:bookmarkEnd w:id="0"/>
    </w:p>
    <w:sectPr w:rsidR="00C37F76" w:rsidRPr="0075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58"/>
    <w:rsid w:val="00027B58"/>
    <w:rsid w:val="001261CE"/>
    <w:rsid w:val="0075367C"/>
    <w:rsid w:val="00B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95FD7-0AAC-432D-8F0C-6CF2CA9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6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jiuhe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jiuhe</dc:creator>
  <cp:keywords/>
  <dc:description/>
  <cp:lastModifiedBy>jiuhe</cp:lastModifiedBy>
  <cp:revision>2</cp:revision>
  <dcterms:created xsi:type="dcterms:W3CDTF">2018-12-05T09:22:00Z</dcterms:created>
  <dcterms:modified xsi:type="dcterms:W3CDTF">2018-12-05T09:22:00Z</dcterms:modified>
</cp:coreProperties>
</file>