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sz w:val="44"/>
          <w:szCs w:val="44"/>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2018深圳·坪山国际生物医药产业</w:t>
      </w:r>
    </w:p>
    <w:p>
      <w:pPr>
        <w:jc w:val="center"/>
        <w:rPr>
          <w:rFonts w:hint="eastAsia" w:ascii="仿宋_GB2312" w:hAnsi="仿宋" w:eastAsiaTheme="majorEastAsia"/>
          <w:sz w:val="32"/>
          <w:szCs w:val="32"/>
          <w:lang w:val="en-US" w:eastAsia="zh-CN"/>
        </w:rPr>
      </w:pPr>
      <w:r>
        <w:rPr>
          <w:rFonts w:hint="eastAsia" w:asciiTheme="majorEastAsia" w:hAnsiTheme="majorEastAsia" w:eastAsiaTheme="majorEastAsia" w:cstheme="majorEastAsia"/>
          <w:sz w:val="44"/>
          <w:szCs w:val="44"/>
        </w:rPr>
        <w:t>创新发展峰会</w:t>
      </w:r>
      <w:r>
        <w:rPr>
          <w:rFonts w:hint="eastAsia" w:asciiTheme="majorEastAsia" w:hAnsiTheme="majorEastAsia" w:eastAsiaTheme="majorEastAsia" w:cstheme="majorEastAsia"/>
          <w:sz w:val="44"/>
          <w:szCs w:val="44"/>
          <w:lang w:eastAsia="zh-CN"/>
        </w:rPr>
        <w:t>投资论坛</w:t>
      </w:r>
    </w:p>
    <w:p>
      <w:pPr>
        <w:rPr>
          <w:rFonts w:hint="eastAsia" w:ascii="仿宋_GB2312" w:hAnsi="仿宋" w:eastAsia="仿宋_GB2312"/>
          <w:sz w:val="32"/>
          <w:szCs w:val="32"/>
        </w:rPr>
      </w:pPr>
    </w:p>
    <w:p>
      <w:pPr>
        <w:rPr>
          <w:rFonts w:hint="eastAsia" w:ascii="仿宋" w:hAnsi="仿宋" w:eastAsia="仿宋" w:cs="仿宋"/>
          <w:sz w:val="32"/>
          <w:szCs w:val="32"/>
        </w:rPr>
      </w:pPr>
      <w:r>
        <w:rPr>
          <w:rFonts w:hint="eastAsia" w:ascii="仿宋_GB2312" w:hAnsi="仿宋" w:eastAsia="仿宋_GB2312"/>
          <w:sz w:val="32"/>
          <w:szCs w:val="32"/>
        </w:rPr>
        <w:t xml:space="preserve">   </w:t>
      </w:r>
      <w:r>
        <w:rPr>
          <w:rFonts w:hint="eastAsia" w:ascii="仿宋" w:hAnsi="仿宋" w:eastAsia="仿宋" w:cs="仿宋"/>
          <w:sz w:val="32"/>
          <w:szCs w:val="32"/>
        </w:rPr>
        <w:t xml:space="preserve"> 本届峰会将以创新为核心诉求，通过连接海内外院士科学家、创投机构、行业专家、创新研究项目团队、500强生物医药企业、高等院校100位生物技术与医药领域的国内外知名学者、企业高层、技术精英，以及来自各国政府监管机构、风险投资等领域的专家出席，就医药新政、新药研发、临床研究、医药流通等领域内的新技术、新发展、新模式及国际技术转移、成果转化、金融激励等进行交流、研讨，并开展项目推介与路演。近500位行业精英将共同参与生物医药产业链条中的多元主体，致力于促进生物医药产融结合，推动产业成果转化，共同探讨生物医药产业的创新发展。</w:t>
      </w:r>
    </w:p>
    <w:p>
      <w:pPr>
        <w:snapToGrid w:val="0"/>
        <w:spacing w:line="560" w:lineRule="exact"/>
        <w:rPr>
          <w:rFonts w:hint="eastAsia" w:ascii="黑体" w:hAnsi="黑体" w:eastAsia="黑体"/>
          <w:sz w:val="32"/>
          <w:szCs w:val="32"/>
        </w:rPr>
      </w:pPr>
    </w:p>
    <w:p>
      <w:pPr>
        <w:snapToGrid w:val="0"/>
        <w:spacing w:line="560" w:lineRule="exact"/>
        <w:rPr>
          <w:rFonts w:hint="eastAsia" w:ascii="黑体" w:hAnsi="黑体" w:eastAsia="黑体"/>
          <w:sz w:val="32"/>
          <w:szCs w:val="32"/>
        </w:rPr>
      </w:pPr>
      <w:r>
        <w:rPr>
          <w:rFonts w:hint="eastAsia" w:ascii="黑体" w:hAnsi="黑体" w:eastAsia="黑体"/>
          <w:sz w:val="32"/>
          <w:szCs w:val="32"/>
        </w:rPr>
        <w:t>组织架构</w:t>
      </w:r>
    </w:p>
    <w:p>
      <w:pPr>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主办单位：深圳市坪山区人民政府</w:t>
      </w:r>
    </w:p>
    <w:p>
      <w:pPr>
        <w:snapToGrid w:val="0"/>
        <w:spacing w:line="560" w:lineRule="exact"/>
        <w:rPr>
          <w:rFonts w:ascii="仿宋_GB2312" w:hAnsi="仿宋" w:eastAsia="仿宋_GB2312"/>
          <w:sz w:val="32"/>
          <w:szCs w:val="32"/>
        </w:rPr>
      </w:pPr>
      <w:r>
        <w:rPr>
          <w:rFonts w:hint="eastAsia" w:ascii="仿宋_GB2312" w:hAnsi="仿宋" w:eastAsia="仿宋_GB2312"/>
          <w:sz w:val="32"/>
          <w:szCs w:val="32"/>
        </w:rPr>
        <w:t xml:space="preserve">          中国国际贸易促进委员会深圳市委员会</w:t>
      </w:r>
    </w:p>
    <w:p>
      <w:pPr>
        <w:snapToGrid w:val="0"/>
        <w:spacing w:line="560" w:lineRule="exact"/>
        <w:ind w:firstLine="640" w:firstLineChars="200"/>
        <w:rPr>
          <w:rFonts w:ascii="仿宋_GB2312" w:hAnsi="仿宋" w:eastAsia="仿宋_GB2312"/>
          <w:sz w:val="32"/>
          <w:szCs w:val="32"/>
        </w:rPr>
      </w:pPr>
      <w:r>
        <w:rPr>
          <w:rFonts w:ascii="仿宋_GB2312" w:hAnsi="仿宋" w:eastAsia="仿宋_GB2312"/>
          <w:sz w:val="32"/>
          <w:szCs w:val="32"/>
        </w:rPr>
        <w:t xml:space="preserve">      </w:t>
      </w:r>
      <w:r>
        <w:rPr>
          <w:rFonts w:hint="eastAsia" w:ascii="仿宋_GB2312" w:hAnsi="仿宋" w:eastAsia="仿宋_GB2312"/>
          <w:sz w:val="32"/>
          <w:szCs w:val="32"/>
        </w:rPr>
        <w:t>深圳市科学技术协会</w:t>
      </w:r>
    </w:p>
    <w:p>
      <w:pPr>
        <w:snapToGrid w:val="0"/>
        <w:spacing w:line="560" w:lineRule="exact"/>
        <w:ind w:firstLine="1600" w:firstLineChars="500"/>
        <w:rPr>
          <w:rFonts w:hint="eastAsia" w:ascii="仿宋_GB2312" w:hAnsi="仿宋" w:eastAsia="仿宋_GB2312"/>
          <w:sz w:val="32"/>
          <w:szCs w:val="32"/>
        </w:rPr>
      </w:pPr>
      <w:r>
        <w:rPr>
          <w:rFonts w:hint="eastAsia" w:ascii="仿宋_GB2312" w:hAnsi="仿宋" w:eastAsia="仿宋_GB2312"/>
          <w:sz w:val="32"/>
          <w:szCs w:val="32"/>
        </w:rPr>
        <w:t>深圳市投资推广署</w:t>
      </w:r>
    </w:p>
    <w:p>
      <w:pPr>
        <w:snapToGrid w:val="0"/>
        <w:spacing w:line="560" w:lineRule="exact"/>
        <w:rPr>
          <w:rFonts w:hint="eastAsia" w:ascii="仿宋_GB2312" w:hAnsi="仿宋" w:eastAsia="仿宋_GB2312"/>
          <w:sz w:val="32"/>
          <w:szCs w:val="32"/>
        </w:rPr>
      </w:pPr>
      <w:r>
        <w:rPr>
          <w:rFonts w:hint="eastAsia" w:ascii="仿宋_GB2312" w:hAnsi="仿宋" w:eastAsia="仿宋_GB2312"/>
          <w:sz w:val="32"/>
          <w:szCs w:val="32"/>
        </w:rPr>
        <w:t>承办单位</w:t>
      </w:r>
      <w:r>
        <w:rPr>
          <w:rFonts w:hint="eastAsia" w:ascii="仿宋_GB2312" w:hAnsi="仿宋" w:eastAsia="仿宋_GB2312"/>
          <w:sz w:val="32"/>
          <w:szCs w:val="32"/>
          <w:lang w:eastAsia="zh-CN"/>
        </w:rPr>
        <w:t>：</w:t>
      </w:r>
      <w:r>
        <w:rPr>
          <w:rFonts w:hint="eastAsia" w:ascii="仿宋_GB2312" w:hAnsi="仿宋" w:eastAsia="仿宋_GB2312"/>
          <w:sz w:val="32"/>
          <w:szCs w:val="32"/>
        </w:rPr>
        <w:t>深圳市坪山区经济和科技促进局</w:t>
      </w:r>
    </w:p>
    <w:p>
      <w:pPr>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深圳国际商会</w:t>
      </w:r>
    </w:p>
    <w:p>
      <w:pPr>
        <w:snapToGrid w:val="0"/>
        <w:spacing w:line="560" w:lineRule="exact"/>
        <w:ind w:firstLine="1600" w:firstLineChars="5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深圳市科技开发交流中心</w:t>
      </w:r>
    </w:p>
    <w:p>
      <w:pPr>
        <w:snapToGrid w:val="0"/>
        <w:spacing w:line="560" w:lineRule="exact"/>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协办单位： 元明资本</w:t>
      </w:r>
    </w:p>
    <w:p>
      <w:pPr>
        <w:rPr>
          <w:rFonts w:hint="eastAsia" w:ascii="仿宋" w:hAnsi="仿宋" w:eastAsia="仿宋" w:cs="仿宋"/>
          <w:sz w:val="32"/>
          <w:szCs w:val="32"/>
        </w:rPr>
      </w:pPr>
    </w:p>
    <w:p>
      <w:pPr>
        <w:rPr>
          <w:rFonts w:hint="eastAsia" w:ascii="黑体" w:hAnsi="黑体" w:eastAsia="黑体" w:cs="黑体"/>
          <w:sz w:val="32"/>
          <w:szCs w:val="32"/>
          <w:lang w:eastAsia="zh-CN"/>
        </w:rPr>
      </w:pPr>
      <w:r>
        <w:rPr>
          <w:rFonts w:hint="eastAsia" w:ascii="黑体" w:hAnsi="黑体" w:eastAsia="黑体" w:cs="黑体"/>
          <w:sz w:val="32"/>
          <w:szCs w:val="32"/>
          <w:lang w:eastAsia="zh-CN"/>
        </w:rPr>
        <w:t>特邀嘉宾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drawing>
          <wp:anchor distT="0" distB="0" distL="0" distR="0" simplePos="0" relativeHeight="251658240" behindDoc="0" locked="0" layoutInCell="1" allowOverlap="1">
            <wp:simplePos x="0" y="0"/>
            <wp:positionH relativeFrom="column">
              <wp:posOffset>-15875</wp:posOffset>
            </wp:positionH>
            <wp:positionV relativeFrom="paragraph">
              <wp:posOffset>64770</wp:posOffset>
            </wp:positionV>
            <wp:extent cx="1285875" cy="1499870"/>
            <wp:effectExtent l="0" t="0" r="9525" b="5080"/>
            <wp:wrapSquare wrapText="bothSides"/>
            <wp:docPr id="1" name="图片 1" descr="C:\Users\ADMINI~1\AppData\Local\Temp\15368308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1536830846(1).png"/>
                    <pic:cNvPicPr>
                      <a:picLocks noChangeAspect="1" noChangeArrowheads="1"/>
                    </pic:cNvPicPr>
                  </pic:nvPicPr>
                  <pic:blipFill>
                    <a:blip r:embed="rId4"/>
                    <a:srcRect/>
                    <a:stretch>
                      <a:fillRect/>
                    </a:stretch>
                  </pic:blipFill>
                  <pic:spPr>
                    <a:xfrm>
                      <a:off x="0" y="0"/>
                      <a:ext cx="1285875" cy="1499870"/>
                    </a:xfrm>
                    <a:prstGeom prst="rect">
                      <a:avLst/>
                    </a:prstGeom>
                    <a:noFill/>
                    <a:ln w="9525">
                      <a:noFill/>
                      <a:miter lim="800000"/>
                      <a:headEnd/>
                      <a:tailEnd/>
                    </a:ln>
                  </pic:spPr>
                </pic:pic>
              </a:graphicData>
            </a:graphic>
          </wp:anchor>
        </w:drawing>
      </w:r>
      <w:r>
        <w:rPr>
          <w:rFonts w:hint="eastAsia" w:ascii="仿宋" w:hAnsi="仿宋" w:eastAsia="仿宋" w:cs="仿宋"/>
          <w:sz w:val="32"/>
          <w:szCs w:val="32"/>
        </w:rPr>
        <w:t>田源</w:t>
      </w:r>
      <w:r>
        <w:rPr>
          <w:rFonts w:hint="eastAsia" w:ascii="仿宋" w:hAnsi="仿宋" w:eastAsia="仿宋" w:cs="仿宋"/>
          <w:sz w:val="32"/>
          <w:szCs w:val="32"/>
          <w:lang w:eastAsia="zh-CN"/>
        </w:rPr>
        <w:t>，</w:t>
      </w:r>
      <w:r>
        <w:rPr>
          <w:rFonts w:hint="eastAsia" w:ascii="仿宋" w:hAnsi="仿宋" w:eastAsia="仿宋" w:cs="仿宋"/>
          <w:sz w:val="32"/>
          <w:szCs w:val="32"/>
        </w:rPr>
        <w:t>元明资本创始合伙人，美国迈胜（Mevion）医疗系统有限公司董事长，亚布力中国企业家论坛主席，中国医药创新促进会投资委员会主任委员。014年创立元明资本，主导过的投资项目包括百济神州、亚盛医药、迈胜医疗、药渡、长风药业、药明巨诺、阿诺医药、神州医疗等。曾获得中国经济学最高奖---中国经济理论创新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drawing>
          <wp:anchor distT="0" distB="0" distL="0" distR="0" simplePos="0" relativeHeight="251659264" behindDoc="0" locked="0" layoutInCell="1" allowOverlap="1">
            <wp:simplePos x="0" y="0"/>
            <wp:positionH relativeFrom="column">
              <wp:posOffset>-9525</wp:posOffset>
            </wp:positionH>
            <wp:positionV relativeFrom="paragraph">
              <wp:posOffset>75565</wp:posOffset>
            </wp:positionV>
            <wp:extent cx="1294130" cy="1670050"/>
            <wp:effectExtent l="0" t="0" r="1270" b="6350"/>
            <wp:wrapSquare wrapText="bothSides"/>
            <wp:docPr id="2" name="图片 2" descr="C:\Users\ADMINI~1\AppData\Local\Temp\153683101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1536831019(1).png"/>
                    <pic:cNvPicPr>
                      <a:picLocks noChangeAspect="1" noChangeArrowheads="1"/>
                    </pic:cNvPicPr>
                  </pic:nvPicPr>
                  <pic:blipFill>
                    <a:blip r:embed="rId5"/>
                    <a:srcRect/>
                    <a:stretch>
                      <a:fillRect/>
                    </a:stretch>
                  </pic:blipFill>
                  <pic:spPr>
                    <a:xfrm>
                      <a:off x="0" y="0"/>
                      <a:ext cx="1294130" cy="1670050"/>
                    </a:xfrm>
                    <a:prstGeom prst="rect">
                      <a:avLst/>
                    </a:prstGeom>
                    <a:noFill/>
                    <a:ln w="9525">
                      <a:noFill/>
                      <a:miter lim="800000"/>
                      <a:headEnd/>
                      <a:tailEnd/>
                    </a:ln>
                  </pic:spPr>
                </pic:pic>
              </a:graphicData>
            </a:graphic>
          </wp:anchor>
        </w:drawing>
      </w:r>
      <w:r>
        <w:rPr>
          <w:rFonts w:hint="eastAsia" w:ascii="仿宋" w:hAnsi="仿宋" w:eastAsia="仿宋" w:cs="仿宋"/>
          <w:kern w:val="0"/>
          <w:sz w:val="32"/>
          <w:szCs w:val="32"/>
        </w:rPr>
        <w:t>蔡达建</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金融学博士，中欧EMBA，中欧15周年庆杰出校友，中国“92派”企业家，高特佳投资集团创始人、董事长。蔡达建先生领导的高特佳以模式创新和理念创新享誉业界，并率先在业内提出“主题行业投资”的投资模式，高特佳也是国内为数不多的医疗健康产业全阶段投资机构。蔡达建先生先后荣膺投中信息2017年中国最佳医疗健康产业投资人TOP10、清科研究中心2017年投资界TOP100投资人、投资家网2016-2017年度中国医疗健康领域最佳投资人等奖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drawing>
          <wp:anchor distT="0" distB="0" distL="0" distR="0" simplePos="0" relativeHeight="251660288" behindDoc="0" locked="0" layoutInCell="1" allowOverlap="1">
            <wp:simplePos x="0" y="0"/>
            <wp:positionH relativeFrom="column">
              <wp:posOffset>-123190</wp:posOffset>
            </wp:positionH>
            <wp:positionV relativeFrom="paragraph">
              <wp:posOffset>33020</wp:posOffset>
            </wp:positionV>
            <wp:extent cx="1006475" cy="1386840"/>
            <wp:effectExtent l="0" t="0" r="3175" b="3810"/>
            <wp:wrapSquare wrapText="bothSides"/>
            <wp:docPr id="3" name="图片 3" descr="C:\Users\ADMINI~1\AppData\Local\Temp\153683123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1\AppData\Local\Temp\1536831238(1).png"/>
                    <pic:cNvPicPr>
                      <a:picLocks noChangeAspect="1" noChangeArrowheads="1"/>
                    </pic:cNvPicPr>
                  </pic:nvPicPr>
                  <pic:blipFill>
                    <a:blip r:embed="rId6"/>
                    <a:srcRect/>
                    <a:stretch>
                      <a:fillRect/>
                    </a:stretch>
                  </pic:blipFill>
                  <pic:spPr>
                    <a:xfrm>
                      <a:off x="0" y="0"/>
                      <a:ext cx="1006475" cy="1386840"/>
                    </a:xfrm>
                    <a:prstGeom prst="rect">
                      <a:avLst/>
                    </a:prstGeom>
                    <a:noFill/>
                    <a:ln w="9525">
                      <a:noFill/>
                      <a:miter lim="800000"/>
                      <a:headEnd/>
                      <a:tailEnd/>
                    </a:ln>
                  </pic:spPr>
                </pic:pic>
              </a:graphicData>
            </a:graphic>
          </wp:anchor>
        </w:drawing>
      </w:r>
      <w:r>
        <w:rPr>
          <w:rFonts w:hint="eastAsia" w:ascii="仿宋" w:hAnsi="仿宋" w:eastAsia="仿宋" w:cs="仿宋"/>
          <w:sz w:val="32"/>
          <w:szCs w:val="32"/>
        </w:rPr>
        <w:t>曾志强</w:t>
      </w:r>
      <w:r>
        <w:rPr>
          <w:rFonts w:hint="eastAsia" w:ascii="仿宋" w:hAnsi="仿宋" w:eastAsia="仿宋" w:cs="仿宋"/>
          <w:sz w:val="32"/>
          <w:szCs w:val="32"/>
          <w:lang w:eastAsia="zh-CN"/>
        </w:rPr>
        <w:t>，</w:t>
      </w:r>
      <w:r>
        <w:rPr>
          <w:rFonts w:hint="eastAsia" w:ascii="仿宋" w:hAnsi="仿宋" w:eastAsia="仿宋" w:cs="仿宋"/>
          <w:sz w:val="32"/>
          <w:szCs w:val="32"/>
        </w:rPr>
        <w:t>华盖医疗健康基金主管合伙人 、CEO</w:t>
      </w:r>
      <w:r>
        <w:rPr>
          <w:rFonts w:hint="eastAsia" w:ascii="仿宋" w:hAnsi="仿宋" w:eastAsia="仿宋" w:cs="仿宋"/>
          <w:sz w:val="32"/>
          <w:szCs w:val="32"/>
          <w:lang w:eastAsia="zh-CN"/>
        </w:rPr>
        <w:t>；</w:t>
      </w:r>
      <w:r>
        <w:rPr>
          <w:rFonts w:hint="eastAsia" w:ascii="仿宋" w:hAnsi="仿宋" w:eastAsia="仿宋" w:cs="仿宋"/>
          <w:sz w:val="32"/>
          <w:szCs w:val="32"/>
        </w:rPr>
        <w:t>北京大学经济学学士，清华大学EMBA ，美国Rollins 大学商学院MBA ；“中国医疗健康投资50 人论坛”执行理事，“医药经理人俱乐部”常务理事</w:t>
      </w:r>
      <w:r>
        <w:rPr>
          <w:rFonts w:hint="eastAsia" w:ascii="仿宋" w:hAnsi="仿宋" w:eastAsia="仿宋" w:cs="仿宋"/>
          <w:sz w:val="32"/>
          <w:szCs w:val="32"/>
          <w:lang w:eastAsia="zh-CN"/>
        </w:rPr>
        <w:t>。</w:t>
      </w:r>
      <w:r>
        <w:rPr>
          <w:rFonts w:hint="eastAsia" w:ascii="仿宋" w:hAnsi="仿宋" w:eastAsia="仿宋" w:cs="仿宋"/>
          <w:sz w:val="32"/>
          <w:szCs w:val="32"/>
        </w:rPr>
        <w:t>历任中信产业基金董事总经理、投委会委员、医疗健康投资部负责人。之前曾供职于银河证券及博时基金，后担任北大方正和生投资有限公司（方正医药健康基金）总裁。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从业期间 ，领导团队挖掘并投资了多起业内知名的明星案例如三生生物、嘉林药业、友搏药业、之江生物、中和药 业 、九强生物、赛 诺威盛、宝岛妇产、海吉亚医疗等 ；累计在医疗健康领域投资约30 亿元，为投资人赚取了逾百亿的优异回报。从业期间成功主导或协助了数十家国内知名企业上市及策划实施资本运营方案。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r>
        <w:rPr>
          <w:rFonts w:hint="eastAsia" w:ascii="仿宋" w:hAnsi="仿宋" w:eastAsia="仿宋" w:cs="仿宋"/>
          <w:sz w:val="32"/>
          <w:szCs w:val="32"/>
        </w:rPr>
        <w:t>吕大忠</w:t>
      </w:r>
      <w:r>
        <w:rPr>
          <w:rFonts w:hint="eastAsia" w:ascii="仿宋" w:hAnsi="仿宋" w:eastAsia="仿宋" w:cs="仿宋"/>
          <w:sz w:val="32"/>
          <w:szCs w:val="32"/>
        </w:rPr>
        <w:drawing>
          <wp:anchor distT="0" distB="0" distL="0" distR="0" simplePos="0" relativeHeight="251661312" behindDoc="0" locked="0" layoutInCell="1" allowOverlap="1">
            <wp:simplePos x="0" y="0"/>
            <wp:positionH relativeFrom="column">
              <wp:posOffset>19050</wp:posOffset>
            </wp:positionH>
            <wp:positionV relativeFrom="paragraph">
              <wp:posOffset>57785</wp:posOffset>
            </wp:positionV>
            <wp:extent cx="755650" cy="1073150"/>
            <wp:effectExtent l="19050" t="0" r="6350" b="0"/>
            <wp:wrapSquare wrapText="bothSides"/>
            <wp:docPr id="4" name="图片 4" descr="C:\Users\ADMINI~1\AppData\Local\Temp\15368314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1\AppData\Local\Temp\1536831402(1).png"/>
                    <pic:cNvPicPr>
                      <a:picLocks noChangeAspect="1" noChangeArrowheads="1"/>
                    </pic:cNvPicPr>
                  </pic:nvPicPr>
                  <pic:blipFill>
                    <a:blip r:embed="rId7"/>
                    <a:srcRect/>
                    <a:stretch>
                      <a:fillRect/>
                    </a:stretch>
                  </pic:blipFill>
                  <pic:spPr>
                    <a:xfrm>
                      <a:off x="0" y="0"/>
                      <a:ext cx="755650" cy="1073150"/>
                    </a:xfrm>
                    <a:prstGeom prst="rect">
                      <a:avLst/>
                    </a:prstGeom>
                    <a:noFill/>
                    <a:ln w="9525">
                      <a:noFill/>
                      <a:miter lim="800000"/>
                      <a:headEnd/>
                      <a:tailEnd/>
                    </a:ln>
                  </pic:spPr>
                </pic:pic>
              </a:graphicData>
            </a:graphic>
          </wp:anchor>
        </w:drawing>
      </w:r>
      <w:r>
        <w:rPr>
          <w:rFonts w:hint="eastAsia" w:ascii="仿宋" w:hAnsi="仿宋" w:eastAsia="仿宋" w:cs="仿宋"/>
          <w:sz w:val="32"/>
          <w:szCs w:val="32"/>
          <w:lang w:eastAsia="zh-CN"/>
        </w:rPr>
        <w:t>，</w:t>
      </w:r>
      <w:r>
        <w:rPr>
          <w:rFonts w:hint="eastAsia" w:ascii="仿宋" w:hAnsi="仿宋" w:eastAsia="仿宋" w:cs="仿宋"/>
          <w:sz w:val="32"/>
          <w:szCs w:val="32"/>
        </w:rPr>
        <w:t>天津南开大学经济学学士和博士，加拿大McGill大学工商管理硕士，于2009年8月加入国投创新投资管理有限公司，担任董事总经理职务，目前主要负责公司医疗健康领域的投资。曾经就职于中法资本、上海联创投资管理公司、加拿大丰业银行、中国国际金融有限公司和安达信会计师事务所。吕大忠先生拥有20多年投资及咨询领域从业经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drawing>
          <wp:anchor distT="0" distB="0" distL="0" distR="0" simplePos="0" relativeHeight="251662336" behindDoc="0" locked="0" layoutInCell="1" allowOverlap="1">
            <wp:simplePos x="0" y="0"/>
            <wp:positionH relativeFrom="column">
              <wp:posOffset>0</wp:posOffset>
            </wp:positionH>
            <wp:positionV relativeFrom="paragraph">
              <wp:posOffset>53340</wp:posOffset>
            </wp:positionV>
            <wp:extent cx="1206500" cy="1670050"/>
            <wp:effectExtent l="0" t="0" r="12700" b="6350"/>
            <wp:wrapSquare wrapText="bothSides"/>
            <wp:docPr id="5" name="图片 5" descr="C:\Users\ADMINI~1\AppData\Local\Temp\153683148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1\AppData\Local\Temp\1536831489(1).png"/>
                    <pic:cNvPicPr>
                      <a:picLocks noChangeAspect="1" noChangeArrowheads="1"/>
                    </pic:cNvPicPr>
                  </pic:nvPicPr>
                  <pic:blipFill>
                    <a:blip r:embed="rId8"/>
                    <a:srcRect/>
                    <a:stretch>
                      <a:fillRect/>
                    </a:stretch>
                  </pic:blipFill>
                  <pic:spPr>
                    <a:xfrm>
                      <a:off x="0" y="0"/>
                      <a:ext cx="1206500" cy="1670050"/>
                    </a:xfrm>
                    <a:prstGeom prst="rect">
                      <a:avLst/>
                    </a:prstGeom>
                    <a:noFill/>
                    <a:ln w="9525">
                      <a:noFill/>
                      <a:miter lim="800000"/>
                      <a:headEnd/>
                      <a:tailEnd/>
                    </a:ln>
                  </pic:spPr>
                </pic:pic>
              </a:graphicData>
            </a:graphic>
          </wp:anchor>
        </w:drawing>
      </w:r>
      <w:r>
        <w:rPr>
          <w:rFonts w:hint="eastAsia" w:ascii="仿宋" w:hAnsi="仿宋" w:eastAsia="仿宋" w:cs="仿宋"/>
          <w:color w:val="000000" w:themeColor="text1"/>
          <w:sz w:val="32"/>
          <w:szCs w:val="32"/>
          <w14:textFill>
            <w14:solidFill>
              <w14:schemeClr w14:val="tx1"/>
            </w14:solidFill>
          </w14:textFill>
        </w:rPr>
        <w:t>王健博士是奥博亚洲（OrbiMed Asia）的创始合伙人及资深董事总经理，他拥有近30年生物医疗健康领域的投资、创业、金融及科研经验。王博士曾投资过许多成功的公司，如再鼎，时代天使、艾瑞（ForteBio），金唯智等，现任CBTPharmaceuticals董事长，曾被评为中国生物医疗投资Top10（投中）。他是香港股票交易所生物科技咨询小组成员，也是百华协会 (BayHelix，中国生物医疗商业领导者的组织)的联合创始人及前任主席。王博士在诺贝尔奖得主Eric Kandel的指导下获得哥伦比亚大学神经生物学博士学位，并获得Howard Hughes Medical Institute (HHMI)科学研究奖金，此外王博士还从斯坦福大学获得了MBA。</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color w:val="000000"/>
          <w:sz w:val="32"/>
          <w:szCs w:val="32"/>
        </w:rPr>
      </w:pPr>
      <w:r>
        <w:rPr>
          <w:rFonts w:hint="eastAsia" w:ascii="仿宋" w:hAnsi="仿宋" w:eastAsia="仿宋" w:cs="仿宋"/>
          <w:sz w:val="32"/>
          <w:szCs w:val="32"/>
        </w:rPr>
        <w:drawing>
          <wp:anchor distT="0" distB="0" distL="0" distR="0" simplePos="0" relativeHeight="251663360" behindDoc="0" locked="0" layoutInCell="1" allowOverlap="1">
            <wp:simplePos x="0" y="0"/>
            <wp:positionH relativeFrom="column">
              <wp:posOffset>-28575</wp:posOffset>
            </wp:positionH>
            <wp:positionV relativeFrom="paragraph">
              <wp:posOffset>33655</wp:posOffset>
            </wp:positionV>
            <wp:extent cx="1212850" cy="1708150"/>
            <wp:effectExtent l="0" t="0" r="6350" b="6350"/>
            <wp:wrapSquare wrapText="bothSides"/>
            <wp:docPr id="6" name="图片 6" descr="C:\Users\ADMINI~1\AppData\Local\Temp\153683164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1536831643(1).png"/>
                    <pic:cNvPicPr>
                      <a:picLocks noChangeAspect="1" noChangeArrowheads="1"/>
                    </pic:cNvPicPr>
                  </pic:nvPicPr>
                  <pic:blipFill>
                    <a:blip r:embed="rId9"/>
                    <a:srcRect/>
                    <a:stretch>
                      <a:fillRect/>
                    </a:stretch>
                  </pic:blipFill>
                  <pic:spPr>
                    <a:xfrm>
                      <a:off x="0" y="0"/>
                      <a:ext cx="1212850" cy="1708150"/>
                    </a:xfrm>
                    <a:prstGeom prst="rect">
                      <a:avLst/>
                    </a:prstGeom>
                    <a:noFill/>
                    <a:ln w="9525">
                      <a:noFill/>
                      <a:miter lim="800000"/>
                      <a:headEnd/>
                      <a:tailEnd/>
                    </a:ln>
                  </pic:spPr>
                </pic:pic>
              </a:graphicData>
            </a:graphic>
          </wp:anchor>
        </w:drawing>
      </w:r>
      <w:r>
        <w:rPr>
          <w:rFonts w:hint="eastAsia" w:ascii="仿宋" w:hAnsi="仿宋" w:eastAsia="仿宋" w:cs="仿宋"/>
          <w:sz w:val="32"/>
          <w:szCs w:val="32"/>
        </w:rPr>
        <w:t>朱晋桥，长江商学院EMBA、中国药促会投资专委会发起人、</w:t>
      </w:r>
      <w:r>
        <w:rPr>
          <w:rFonts w:hint="eastAsia" w:ascii="仿宋" w:hAnsi="仿宋" w:eastAsia="仿宋" w:cs="仿宋"/>
          <w:color w:val="000000"/>
          <w:sz w:val="32"/>
          <w:szCs w:val="32"/>
        </w:rPr>
        <w:t>Bayhelix Group会员、深圳最具潜力投资人，根植医疗健康投资行业十余年，有着丰富的投资经验和精准的投资眼光。</w:t>
      </w:r>
      <w:r>
        <w:rPr>
          <w:rFonts w:hint="eastAsia" w:ascii="仿宋" w:hAnsi="仿宋" w:eastAsia="仿宋" w:cs="仿宋"/>
          <w:sz w:val="32"/>
          <w:szCs w:val="32"/>
        </w:rPr>
        <w:t>由朱晋桥先生一手创办的倚锋创投是深圳第一批专业的投资机构，连续多年</w:t>
      </w:r>
      <w:r>
        <w:rPr>
          <w:rFonts w:hint="eastAsia" w:ascii="仿宋" w:hAnsi="仿宋" w:eastAsia="仿宋" w:cs="仿宋"/>
          <w:color w:val="000000"/>
          <w:sz w:val="32"/>
          <w:szCs w:val="32"/>
        </w:rPr>
        <w:t>被评为“深圳市十佳创投机构”，专注于以医药健康行业为主，尤其是创新药及高端医疗器械的VC和PE投资业务。其致力于以资本推动科技成果产业化，协助企业快速成长，并带给投资人丰厚回报。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 w:hAnsi="仿宋" w:eastAsia="仿宋" w:cs="仿宋"/>
          <w:sz w:val="32"/>
          <w:szCs w:val="32"/>
        </w:rPr>
      </w:pPr>
    </w:p>
    <w:p>
      <w:pPr>
        <w:rPr>
          <w:rFonts w:hint="eastAsia" w:ascii="仿宋" w:hAnsi="仿宋" w:eastAsia="仿宋" w:cs="仿宋"/>
          <w:sz w:val="32"/>
          <w:szCs w:val="32"/>
        </w:rPr>
      </w:pPr>
    </w:p>
    <w:p>
      <w:pPr>
        <w:rPr>
          <w:rFonts w:hint="eastAsia" w:ascii="仿宋" w:hAnsi="仿宋" w:eastAsia="仿宋" w:cs="仿宋"/>
          <w:sz w:val="32"/>
          <w:szCs w:val="32"/>
        </w:rPr>
      </w:pPr>
    </w:p>
    <w:p>
      <w:pPr>
        <w:snapToGrid w:val="0"/>
        <w:spacing w:line="560" w:lineRule="exact"/>
        <w:ind w:firstLine="640" w:firstLineChars="200"/>
        <w:rPr>
          <w:rFonts w:hint="eastAsia" w:ascii="黑体" w:hAnsi="黑体" w:eastAsia="黑体" w:cs="仿宋"/>
          <w:bCs/>
          <w:color w:val="000000"/>
          <w:sz w:val="32"/>
          <w:szCs w:val="32"/>
        </w:rPr>
      </w:pPr>
    </w:p>
    <w:p>
      <w:pPr>
        <w:snapToGrid w:val="0"/>
        <w:spacing w:line="560" w:lineRule="exact"/>
        <w:ind w:firstLine="640" w:firstLineChars="200"/>
        <w:rPr>
          <w:rFonts w:hint="eastAsia" w:ascii="黑体" w:hAnsi="黑体" w:eastAsia="黑体" w:cs="仿宋"/>
          <w:bCs/>
          <w:color w:val="000000"/>
          <w:sz w:val="32"/>
          <w:szCs w:val="32"/>
        </w:rPr>
      </w:pPr>
    </w:p>
    <w:p>
      <w:pPr>
        <w:snapToGrid w:val="0"/>
        <w:spacing w:line="560" w:lineRule="exact"/>
        <w:ind w:firstLine="640" w:firstLineChars="200"/>
        <w:rPr>
          <w:rFonts w:hint="eastAsia" w:ascii="黑体" w:hAnsi="黑体" w:eastAsia="黑体" w:cs="仿宋"/>
          <w:color w:val="000000"/>
          <w:sz w:val="32"/>
          <w:szCs w:val="32"/>
        </w:rPr>
      </w:pPr>
      <w:bookmarkStart w:id="0" w:name="_GoBack"/>
      <w:bookmarkEnd w:id="0"/>
      <w:r>
        <w:rPr>
          <w:rFonts w:hint="eastAsia" w:ascii="黑体" w:hAnsi="黑体" w:eastAsia="黑体" w:cs="仿宋"/>
          <w:bCs/>
          <w:color w:val="000000"/>
          <w:sz w:val="32"/>
          <w:szCs w:val="32"/>
          <w:lang w:eastAsia="zh-CN"/>
        </w:rPr>
        <w:t>投资论坛</w:t>
      </w:r>
      <w:r>
        <w:rPr>
          <w:rFonts w:hint="eastAsia" w:ascii="黑体" w:hAnsi="黑体" w:eastAsia="黑体" w:cs="仿宋"/>
          <w:bCs/>
          <w:color w:val="000000"/>
          <w:sz w:val="32"/>
          <w:szCs w:val="32"/>
        </w:rPr>
        <w:t>议程</w:t>
      </w:r>
    </w:p>
    <w:p>
      <w:pPr>
        <w:snapToGrid w:val="0"/>
        <w:spacing w:line="56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时间：2018年9月21日</w:t>
      </w:r>
    </w:p>
    <w:p>
      <w:pPr>
        <w:snapToGrid w:val="0"/>
        <w:spacing w:line="560" w:lineRule="exact"/>
        <w:ind w:firstLine="640" w:firstLineChars="200"/>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地点：深圳市坪山区金地朗悦酒店</w:t>
      </w:r>
    </w:p>
    <w:p>
      <w:pPr>
        <w:rPr>
          <w:rFonts w:hint="eastAsia"/>
        </w:rPr>
      </w:pPr>
    </w:p>
    <w:tbl>
      <w:tblPr>
        <w:tblStyle w:val="6"/>
        <w:tblW w:w="90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2824"/>
        <w:gridCol w:w="4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13" w:hRule="atLeast"/>
        </w:trPr>
        <w:tc>
          <w:tcPr>
            <w:tcW w:w="1985" w:type="dxa"/>
            <w:vAlign w:val="center"/>
          </w:tcPr>
          <w:p>
            <w:pPr>
              <w:adjustRightInd w:val="0"/>
              <w:snapToGrid w:val="0"/>
              <w:spacing w:line="380" w:lineRule="exact"/>
              <w:jc w:val="center"/>
              <w:rPr>
                <w:rFonts w:hint="eastAsia" w:ascii="仿宋_GB2312" w:hAnsi="华文宋体" w:eastAsia="仿宋_GB2312"/>
                <w:b/>
                <w:sz w:val="30"/>
                <w:szCs w:val="30"/>
              </w:rPr>
            </w:pPr>
            <w:r>
              <w:rPr>
                <w:rFonts w:hint="eastAsia" w:ascii="仿宋_GB2312" w:hAnsi="华文宋体" w:eastAsia="仿宋_GB2312"/>
                <w:b/>
                <w:sz w:val="30"/>
                <w:szCs w:val="30"/>
              </w:rPr>
              <w:t>时间</w:t>
            </w:r>
          </w:p>
        </w:tc>
        <w:tc>
          <w:tcPr>
            <w:tcW w:w="2824" w:type="dxa"/>
            <w:vAlign w:val="center"/>
          </w:tcPr>
          <w:p>
            <w:pPr>
              <w:adjustRightInd w:val="0"/>
              <w:snapToGrid w:val="0"/>
              <w:spacing w:line="380" w:lineRule="exact"/>
              <w:jc w:val="center"/>
              <w:rPr>
                <w:rFonts w:hint="eastAsia" w:ascii="仿宋_GB2312" w:hAnsi="华文宋体" w:eastAsia="仿宋_GB2312"/>
                <w:b/>
                <w:sz w:val="30"/>
                <w:szCs w:val="30"/>
              </w:rPr>
            </w:pPr>
            <w:r>
              <w:rPr>
                <w:rFonts w:hint="eastAsia" w:ascii="仿宋_GB2312" w:hAnsi="华文宋体" w:eastAsia="仿宋_GB2312"/>
                <w:b/>
                <w:sz w:val="30"/>
                <w:szCs w:val="30"/>
              </w:rPr>
              <w:t>内容</w:t>
            </w:r>
          </w:p>
        </w:tc>
        <w:tc>
          <w:tcPr>
            <w:tcW w:w="4275" w:type="dxa"/>
            <w:vAlign w:val="center"/>
          </w:tcPr>
          <w:p>
            <w:pPr>
              <w:adjustRightInd w:val="0"/>
              <w:snapToGrid w:val="0"/>
              <w:spacing w:line="380" w:lineRule="exact"/>
              <w:jc w:val="center"/>
              <w:rPr>
                <w:rFonts w:hint="eastAsia" w:ascii="仿宋_GB2312" w:hAnsi="华文宋体" w:eastAsia="仿宋_GB2312"/>
                <w:b/>
                <w:sz w:val="30"/>
                <w:szCs w:val="30"/>
              </w:rPr>
            </w:pPr>
            <w:r>
              <w:rPr>
                <w:rFonts w:hint="eastAsia" w:ascii="仿宋_GB2312" w:hAnsi="华文宋体" w:eastAsia="仿宋_GB2312"/>
                <w:b/>
                <w:sz w:val="30"/>
                <w:szCs w:val="30"/>
              </w:rPr>
              <w:t>嘉宾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4" w:hRule="atLeast"/>
        </w:trPr>
        <w:tc>
          <w:tcPr>
            <w:tcW w:w="1985" w:type="dxa"/>
            <w:vAlign w:val="center"/>
          </w:tcPr>
          <w:p>
            <w:pPr>
              <w:adjustRightInd w:val="0"/>
              <w:snapToGrid w:val="0"/>
              <w:spacing w:line="380" w:lineRule="exact"/>
              <w:jc w:val="center"/>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1</w:t>
            </w:r>
            <w:r>
              <w:rPr>
                <w:rFonts w:ascii="仿宋_GB2312" w:hAnsi="仿宋" w:eastAsia="仿宋_GB2312" w:cs="仿宋"/>
                <w:color w:val="000000"/>
                <w:sz w:val="30"/>
                <w:szCs w:val="30"/>
              </w:rPr>
              <w:t>4</w:t>
            </w:r>
            <w:r>
              <w:rPr>
                <w:rFonts w:hint="eastAsia" w:ascii="仿宋_GB2312" w:hAnsi="仿宋" w:eastAsia="仿宋_GB2312" w:cs="仿宋"/>
                <w:color w:val="000000"/>
                <w:sz w:val="30"/>
                <w:szCs w:val="30"/>
              </w:rPr>
              <w:t>:</w:t>
            </w:r>
            <w:r>
              <w:rPr>
                <w:rFonts w:ascii="仿宋_GB2312" w:hAnsi="仿宋" w:eastAsia="仿宋_GB2312" w:cs="仿宋"/>
                <w:color w:val="000000"/>
                <w:sz w:val="30"/>
                <w:szCs w:val="30"/>
              </w:rPr>
              <w:t>3</w:t>
            </w:r>
            <w:r>
              <w:rPr>
                <w:rFonts w:hint="eastAsia" w:ascii="仿宋_GB2312" w:hAnsi="仿宋" w:eastAsia="仿宋_GB2312" w:cs="仿宋"/>
                <w:color w:val="000000"/>
                <w:sz w:val="30"/>
                <w:szCs w:val="30"/>
              </w:rPr>
              <w:t>0-1</w:t>
            </w:r>
            <w:r>
              <w:rPr>
                <w:rFonts w:ascii="仿宋_GB2312" w:hAnsi="仿宋" w:eastAsia="仿宋_GB2312" w:cs="仿宋"/>
                <w:color w:val="000000"/>
                <w:sz w:val="30"/>
                <w:szCs w:val="30"/>
              </w:rPr>
              <w:t>5</w:t>
            </w:r>
            <w:r>
              <w:rPr>
                <w:rFonts w:hint="eastAsia" w:ascii="仿宋_GB2312" w:hAnsi="仿宋" w:eastAsia="仿宋_GB2312" w:cs="仿宋"/>
                <w:color w:val="000000"/>
                <w:sz w:val="30"/>
                <w:szCs w:val="30"/>
              </w:rPr>
              <w:t>:</w:t>
            </w:r>
            <w:r>
              <w:rPr>
                <w:rFonts w:ascii="仿宋_GB2312" w:hAnsi="仿宋" w:eastAsia="仿宋_GB2312" w:cs="仿宋"/>
                <w:color w:val="000000"/>
                <w:sz w:val="30"/>
                <w:szCs w:val="30"/>
              </w:rPr>
              <w:t>0</w:t>
            </w:r>
            <w:r>
              <w:rPr>
                <w:rFonts w:hint="eastAsia" w:ascii="仿宋_GB2312" w:hAnsi="仿宋" w:eastAsia="仿宋_GB2312" w:cs="仿宋"/>
                <w:color w:val="000000"/>
                <w:sz w:val="30"/>
                <w:szCs w:val="30"/>
              </w:rPr>
              <w:t>0</w:t>
            </w:r>
          </w:p>
        </w:tc>
        <w:tc>
          <w:tcPr>
            <w:tcW w:w="2824" w:type="dxa"/>
            <w:vAlign w:val="center"/>
          </w:tcPr>
          <w:p>
            <w:pPr>
              <w:adjustRightInd w:val="0"/>
              <w:snapToGrid w:val="0"/>
              <w:spacing w:line="380" w:lineRule="exact"/>
              <w:jc w:val="left"/>
              <w:rPr>
                <w:rFonts w:ascii="仿宋_GB2312" w:hAnsi="仿宋" w:eastAsia="仿宋_GB2312" w:cs="仿宋"/>
                <w:color w:val="000000"/>
                <w:sz w:val="30"/>
                <w:szCs w:val="30"/>
              </w:rPr>
            </w:pPr>
            <w:r>
              <w:rPr>
                <w:rFonts w:hint="eastAsia" w:ascii="仿宋_GB2312" w:hAnsi="仿宋" w:eastAsia="仿宋_GB2312" w:cs="仿宋"/>
                <w:color w:val="000000"/>
                <w:sz w:val="30"/>
                <w:szCs w:val="30"/>
              </w:rPr>
              <w:t>主题演讲1</w:t>
            </w:r>
          </w:p>
          <w:p>
            <w:pPr>
              <w:adjustRightInd w:val="0"/>
              <w:snapToGrid w:val="0"/>
              <w:spacing w:line="380" w:lineRule="exact"/>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演讲题目：创新型生物医药公司在全球资本市场中的机遇和抉择</w:t>
            </w:r>
          </w:p>
        </w:tc>
        <w:tc>
          <w:tcPr>
            <w:tcW w:w="4275" w:type="dxa"/>
            <w:vAlign w:val="center"/>
          </w:tcPr>
          <w:p>
            <w:pPr>
              <w:adjustRightInd w:val="0"/>
              <w:snapToGrid w:val="0"/>
              <w:spacing w:line="380" w:lineRule="exact"/>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王健 奥博亚洲基金创始人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4" w:hRule="atLeast"/>
        </w:trPr>
        <w:tc>
          <w:tcPr>
            <w:tcW w:w="1985" w:type="dxa"/>
            <w:vAlign w:val="center"/>
          </w:tcPr>
          <w:p>
            <w:pPr>
              <w:adjustRightInd w:val="0"/>
              <w:snapToGrid w:val="0"/>
              <w:spacing w:line="380" w:lineRule="exact"/>
              <w:jc w:val="center"/>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1</w:t>
            </w:r>
            <w:r>
              <w:rPr>
                <w:rFonts w:ascii="仿宋_GB2312" w:hAnsi="仿宋" w:eastAsia="仿宋_GB2312" w:cs="仿宋"/>
                <w:color w:val="000000"/>
                <w:sz w:val="30"/>
                <w:szCs w:val="30"/>
              </w:rPr>
              <w:t>5</w:t>
            </w:r>
            <w:r>
              <w:rPr>
                <w:rFonts w:hint="eastAsia" w:ascii="仿宋_GB2312" w:hAnsi="仿宋" w:eastAsia="仿宋_GB2312" w:cs="仿宋"/>
                <w:color w:val="000000"/>
                <w:sz w:val="30"/>
                <w:szCs w:val="30"/>
              </w:rPr>
              <w:t>:</w:t>
            </w:r>
            <w:r>
              <w:rPr>
                <w:rFonts w:ascii="仿宋_GB2312" w:hAnsi="仿宋" w:eastAsia="仿宋_GB2312" w:cs="仿宋"/>
                <w:color w:val="000000"/>
                <w:sz w:val="30"/>
                <w:szCs w:val="30"/>
              </w:rPr>
              <w:t>0</w:t>
            </w:r>
            <w:r>
              <w:rPr>
                <w:rFonts w:hint="eastAsia" w:ascii="仿宋_GB2312" w:hAnsi="仿宋" w:eastAsia="仿宋_GB2312" w:cs="仿宋"/>
                <w:color w:val="000000"/>
                <w:sz w:val="30"/>
                <w:szCs w:val="30"/>
              </w:rPr>
              <w:t>0-1</w:t>
            </w:r>
            <w:r>
              <w:rPr>
                <w:rFonts w:ascii="仿宋_GB2312" w:hAnsi="仿宋" w:eastAsia="仿宋_GB2312" w:cs="仿宋"/>
                <w:color w:val="000000"/>
                <w:sz w:val="30"/>
                <w:szCs w:val="30"/>
              </w:rPr>
              <w:t>5</w:t>
            </w:r>
            <w:r>
              <w:rPr>
                <w:rFonts w:hint="eastAsia" w:ascii="仿宋_GB2312" w:hAnsi="仿宋" w:eastAsia="仿宋_GB2312" w:cs="仿宋"/>
                <w:color w:val="000000"/>
                <w:sz w:val="30"/>
                <w:szCs w:val="30"/>
              </w:rPr>
              <w:t>:</w:t>
            </w:r>
            <w:r>
              <w:rPr>
                <w:rFonts w:ascii="仿宋_GB2312" w:hAnsi="仿宋" w:eastAsia="仿宋_GB2312" w:cs="仿宋"/>
                <w:color w:val="000000"/>
                <w:sz w:val="30"/>
                <w:szCs w:val="30"/>
              </w:rPr>
              <w:t>3</w:t>
            </w:r>
            <w:r>
              <w:rPr>
                <w:rFonts w:hint="eastAsia" w:ascii="仿宋_GB2312" w:hAnsi="仿宋" w:eastAsia="仿宋_GB2312" w:cs="仿宋"/>
                <w:color w:val="000000"/>
                <w:sz w:val="30"/>
                <w:szCs w:val="30"/>
              </w:rPr>
              <w:t>0</w:t>
            </w:r>
          </w:p>
        </w:tc>
        <w:tc>
          <w:tcPr>
            <w:tcW w:w="2824" w:type="dxa"/>
            <w:vAlign w:val="center"/>
          </w:tcPr>
          <w:p>
            <w:pPr>
              <w:adjustRightInd w:val="0"/>
              <w:snapToGrid w:val="0"/>
              <w:spacing w:line="380" w:lineRule="exact"/>
              <w:jc w:val="left"/>
              <w:rPr>
                <w:rFonts w:ascii="仿宋_GB2312" w:hAnsi="仿宋" w:eastAsia="仿宋_GB2312" w:cs="仿宋"/>
                <w:color w:val="000000"/>
                <w:sz w:val="30"/>
                <w:szCs w:val="30"/>
              </w:rPr>
            </w:pPr>
            <w:r>
              <w:rPr>
                <w:rFonts w:hint="eastAsia" w:ascii="仿宋_GB2312" w:hAnsi="仿宋" w:eastAsia="仿宋_GB2312" w:cs="仿宋"/>
                <w:color w:val="000000"/>
                <w:sz w:val="30"/>
                <w:szCs w:val="30"/>
              </w:rPr>
              <w:t>主题演讲</w:t>
            </w:r>
            <w:r>
              <w:rPr>
                <w:rFonts w:ascii="仿宋_GB2312" w:hAnsi="仿宋" w:eastAsia="仿宋_GB2312" w:cs="仿宋"/>
                <w:color w:val="000000"/>
                <w:sz w:val="30"/>
                <w:szCs w:val="30"/>
              </w:rPr>
              <w:t>2</w:t>
            </w:r>
          </w:p>
          <w:p>
            <w:pPr>
              <w:adjustRightInd w:val="0"/>
              <w:snapToGrid w:val="0"/>
              <w:spacing w:line="380" w:lineRule="exact"/>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演讲题目：创新驱动生物医药行业发展</w:t>
            </w:r>
          </w:p>
        </w:tc>
        <w:tc>
          <w:tcPr>
            <w:tcW w:w="4275" w:type="dxa"/>
            <w:vAlign w:val="center"/>
          </w:tcPr>
          <w:p>
            <w:pPr>
              <w:adjustRightInd w:val="0"/>
              <w:snapToGrid w:val="0"/>
              <w:spacing w:line="380" w:lineRule="exact"/>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吕大忠 国投创新董事总经理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4" w:hRule="atLeast"/>
        </w:trPr>
        <w:tc>
          <w:tcPr>
            <w:tcW w:w="1985" w:type="dxa"/>
            <w:vAlign w:val="center"/>
          </w:tcPr>
          <w:p>
            <w:pPr>
              <w:adjustRightInd w:val="0"/>
              <w:snapToGrid w:val="0"/>
              <w:spacing w:line="380" w:lineRule="exact"/>
              <w:jc w:val="center"/>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1</w:t>
            </w:r>
            <w:r>
              <w:rPr>
                <w:rFonts w:ascii="仿宋_GB2312" w:hAnsi="仿宋" w:eastAsia="仿宋_GB2312" w:cs="仿宋"/>
                <w:color w:val="000000"/>
                <w:sz w:val="30"/>
                <w:szCs w:val="30"/>
              </w:rPr>
              <w:t>5</w:t>
            </w:r>
            <w:r>
              <w:rPr>
                <w:rFonts w:hint="eastAsia" w:ascii="仿宋_GB2312" w:hAnsi="仿宋" w:eastAsia="仿宋_GB2312" w:cs="仿宋"/>
                <w:color w:val="000000"/>
                <w:sz w:val="30"/>
                <w:szCs w:val="30"/>
              </w:rPr>
              <w:t>:</w:t>
            </w:r>
            <w:r>
              <w:rPr>
                <w:rFonts w:ascii="仿宋_GB2312" w:hAnsi="仿宋" w:eastAsia="仿宋_GB2312" w:cs="仿宋"/>
                <w:color w:val="000000"/>
                <w:sz w:val="30"/>
                <w:szCs w:val="30"/>
              </w:rPr>
              <w:t>3</w:t>
            </w:r>
            <w:r>
              <w:rPr>
                <w:rFonts w:hint="eastAsia" w:ascii="仿宋_GB2312" w:hAnsi="仿宋" w:eastAsia="仿宋_GB2312" w:cs="仿宋"/>
                <w:color w:val="000000"/>
                <w:sz w:val="30"/>
                <w:szCs w:val="30"/>
              </w:rPr>
              <w:t>0-1</w:t>
            </w:r>
            <w:r>
              <w:rPr>
                <w:rFonts w:ascii="仿宋_GB2312" w:hAnsi="仿宋" w:eastAsia="仿宋_GB2312" w:cs="仿宋"/>
                <w:color w:val="000000"/>
                <w:sz w:val="30"/>
                <w:szCs w:val="30"/>
              </w:rPr>
              <w:t>6</w:t>
            </w:r>
            <w:r>
              <w:rPr>
                <w:rFonts w:hint="eastAsia" w:ascii="仿宋_GB2312" w:hAnsi="仿宋" w:eastAsia="仿宋_GB2312" w:cs="仿宋"/>
                <w:color w:val="000000"/>
                <w:sz w:val="30"/>
                <w:szCs w:val="30"/>
              </w:rPr>
              <w:t>:</w:t>
            </w:r>
            <w:r>
              <w:rPr>
                <w:rFonts w:ascii="仿宋_GB2312" w:hAnsi="仿宋" w:eastAsia="仿宋_GB2312" w:cs="仿宋"/>
                <w:color w:val="000000"/>
                <w:sz w:val="30"/>
                <w:szCs w:val="30"/>
              </w:rPr>
              <w:t>0</w:t>
            </w:r>
            <w:r>
              <w:rPr>
                <w:rFonts w:hint="eastAsia" w:ascii="仿宋_GB2312" w:hAnsi="仿宋" w:eastAsia="仿宋_GB2312" w:cs="仿宋"/>
                <w:color w:val="000000"/>
                <w:sz w:val="30"/>
                <w:szCs w:val="30"/>
              </w:rPr>
              <w:t>0</w:t>
            </w:r>
          </w:p>
        </w:tc>
        <w:tc>
          <w:tcPr>
            <w:tcW w:w="2824" w:type="dxa"/>
            <w:vAlign w:val="center"/>
          </w:tcPr>
          <w:p>
            <w:pPr>
              <w:adjustRightInd w:val="0"/>
              <w:snapToGrid w:val="0"/>
              <w:spacing w:line="380" w:lineRule="exact"/>
              <w:jc w:val="left"/>
              <w:rPr>
                <w:rFonts w:ascii="仿宋_GB2312" w:hAnsi="仿宋" w:eastAsia="仿宋_GB2312" w:cs="仿宋"/>
                <w:color w:val="000000"/>
                <w:sz w:val="30"/>
                <w:szCs w:val="30"/>
              </w:rPr>
            </w:pPr>
            <w:r>
              <w:rPr>
                <w:rFonts w:hint="eastAsia" w:ascii="仿宋_GB2312" w:hAnsi="仿宋" w:eastAsia="仿宋_GB2312" w:cs="仿宋"/>
                <w:color w:val="000000"/>
                <w:sz w:val="30"/>
                <w:szCs w:val="30"/>
              </w:rPr>
              <w:t>主题演讲</w:t>
            </w:r>
            <w:r>
              <w:rPr>
                <w:rFonts w:ascii="仿宋_GB2312" w:hAnsi="仿宋" w:eastAsia="仿宋_GB2312" w:cs="仿宋"/>
                <w:color w:val="000000"/>
                <w:sz w:val="30"/>
                <w:szCs w:val="30"/>
              </w:rPr>
              <w:t>3</w:t>
            </w:r>
          </w:p>
          <w:p>
            <w:pPr>
              <w:adjustRightInd w:val="0"/>
              <w:snapToGrid w:val="0"/>
              <w:spacing w:line="380" w:lineRule="exact"/>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演讲题目：完善资本市场体系促进医药创新</w:t>
            </w:r>
          </w:p>
        </w:tc>
        <w:tc>
          <w:tcPr>
            <w:tcW w:w="4275" w:type="dxa"/>
            <w:vAlign w:val="center"/>
          </w:tcPr>
          <w:p>
            <w:pPr>
              <w:adjustRightInd w:val="0"/>
              <w:snapToGrid w:val="0"/>
              <w:spacing w:line="380" w:lineRule="exact"/>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蔡达建 高特佳投资创始人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4" w:hRule="atLeast"/>
        </w:trPr>
        <w:tc>
          <w:tcPr>
            <w:tcW w:w="1985" w:type="dxa"/>
            <w:vAlign w:val="center"/>
          </w:tcPr>
          <w:p>
            <w:pPr>
              <w:adjustRightInd w:val="0"/>
              <w:snapToGrid w:val="0"/>
              <w:spacing w:line="380" w:lineRule="exact"/>
              <w:jc w:val="center"/>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1</w:t>
            </w:r>
            <w:r>
              <w:rPr>
                <w:rFonts w:ascii="仿宋_GB2312" w:hAnsi="仿宋" w:eastAsia="仿宋_GB2312" w:cs="仿宋"/>
                <w:color w:val="000000"/>
                <w:sz w:val="30"/>
                <w:szCs w:val="30"/>
              </w:rPr>
              <w:t>6</w:t>
            </w:r>
            <w:r>
              <w:rPr>
                <w:rFonts w:hint="eastAsia" w:ascii="仿宋_GB2312" w:hAnsi="仿宋" w:eastAsia="仿宋_GB2312" w:cs="仿宋"/>
                <w:color w:val="000000"/>
                <w:sz w:val="30"/>
                <w:szCs w:val="30"/>
              </w:rPr>
              <w:t>:</w:t>
            </w:r>
            <w:r>
              <w:rPr>
                <w:rFonts w:ascii="仿宋_GB2312" w:hAnsi="仿宋" w:eastAsia="仿宋_GB2312" w:cs="仿宋"/>
                <w:color w:val="000000"/>
                <w:sz w:val="30"/>
                <w:szCs w:val="30"/>
              </w:rPr>
              <w:t>0</w:t>
            </w:r>
            <w:r>
              <w:rPr>
                <w:rFonts w:hint="eastAsia" w:ascii="仿宋_GB2312" w:hAnsi="仿宋" w:eastAsia="仿宋_GB2312" w:cs="仿宋"/>
                <w:color w:val="000000"/>
                <w:sz w:val="30"/>
                <w:szCs w:val="30"/>
              </w:rPr>
              <w:t>0-1</w:t>
            </w:r>
            <w:r>
              <w:rPr>
                <w:rFonts w:ascii="仿宋_GB2312" w:hAnsi="仿宋" w:eastAsia="仿宋_GB2312" w:cs="仿宋"/>
                <w:color w:val="000000"/>
                <w:sz w:val="30"/>
                <w:szCs w:val="30"/>
              </w:rPr>
              <w:t>6</w:t>
            </w:r>
            <w:r>
              <w:rPr>
                <w:rFonts w:hint="eastAsia" w:ascii="仿宋_GB2312" w:hAnsi="仿宋" w:eastAsia="仿宋_GB2312" w:cs="仿宋"/>
                <w:color w:val="000000"/>
                <w:sz w:val="30"/>
                <w:szCs w:val="30"/>
              </w:rPr>
              <w:t>:</w:t>
            </w:r>
            <w:r>
              <w:rPr>
                <w:rFonts w:ascii="仿宋_GB2312" w:hAnsi="仿宋" w:eastAsia="仿宋_GB2312" w:cs="仿宋"/>
                <w:color w:val="000000"/>
                <w:sz w:val="30"/>
                <w:szCs w:val="30"/>
              </w:rPr>
              <w:t>3</w:t>
            </w:r>
            <w:r>
              <w:rPr>
                <w:rFonts w:hint="eastAsia" w:ascii="仿宋_GB2312" w:hAnsi="仿宋" w:eastAsia="仿宋_GB2312" w:cs="仿宋"/>
                <w:color w:val="000000"/>
                <w:sz w:val="30"/>
                <w:szCs w:val="30"/>
              </w:rPr>
              <w:t>0</w:t>
            </w:r>
          </w:p>
        </w:tc>
        <w:tc>
          <w:tcPr>
            <w:tcW w:w="2824" w:type="dxa"/>
            <w:vAlign w:val="center"/>
          </w:tcPr>
          <w:p>
            <w:pPr>
              <w:adjustRightInd w:val="0"/>
              <w:snapToGrid w:val="0"/>
              <w:spacing w:line="380" w:lineRule="exact"/>
              <w:jc w:val="left"/>
              <w:rPr>
                <w:rFonts w:ascii="仿宋_GB2312" w:hAnsi="仿宋" w:eastAsia="仿宋_GB2312" w:cs="仿宋"/>
                <w:color w:val="000000"/>
                <w:sz w:val="30"/>
                <w:szCs w:val="30"/>
              </w:rPr>
            </w:pPr>
            <w:r>
              <w:rPr>
                <w:rFonts w:hint="eastAsia" w:ascii="仿宋_GB2312" w:hAnsi="仿宋" w:eastAsia="仿宋_GB2312" w:cs="仿宋"/>
                <w:color w:val="000000"/>
                <w:sz w:val="30"/>
                <w:szCs w:val="30"/>
              </w:rPr>
              <w:t>主题演讲</w:t>
            </w:r>
            <w:r>
              <w:rPr>
                <w:rFonts w:ascii="仿宋_GB2312" w:hAnsi="仿宋" w:eastAsia="仿宋_GB2312" w:cs="仿宋"/>
                <w:color w:val="000000"/>
                <w:sz w:val="30"/>
                <w:szCs w:val="30"/>
              </w:rPr>
              <w:t>4</w:t>
            </w:r>
          </w:p>
          <w:p>
            <w:pPr>
              <w:adjustRightInd w:val="0"/>
              <w:snapToGrid w:val="0"/>
              <w:spacing w:line="380" w:lineRule="exact"/>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演讲题目：投资新药的经验分享</w:t>
            </w:r>
          </w:p>
        </w:tc>
        <w:tc>
          <w:tcPr>
            <w:tcW w:w="4275" w:type="dxa"/>
            <w:vAlign w:val="center"/>
          </w:tcPr>
          <w:p>
            <w:pPr>
              <w:adjustRightInd w:val="0"/>
              <w:snapToGrid w:val="0"/>
              <w:spacing w:line="380" w:lineRule="exact"/>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朱晋桥 倚锋创投董事长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4" w:hRule="atLeast"/>
        </w:trPr>
        <w:tc>
          <w:tcPr>
            <w:tcW w:w="1985" w:type="dxa"/>
            <w:vAlign w:val="center"/>
          </w:tcPr>
          <w:p>
            <w:pPr>
              <w:adjustRightInd w:val="0"/>
              <w:snapToGrid w:val="0"/>
              <w:spacing w:line="380" w:lineRule="exact"/>
              <w:jc w:val="center"/>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1</w:t>
            </w:r>
            <w:r>
              <w:rPr>
                <w:rFonts w:ascii="仿宋_GB2312" w:hAnsi="仿宋" w:eastAsia="仿宋_GB2312" w:cs="仿宋"/>
                <w:color w:val="000000"/>
                <w:sz w:val="30"/>
                <w:szCs w:val="30"/>
              </w:rPr>
              <w:t>6</w:t>
            </w:r>
            <w:r>
              <w:rPr>
                <w:rFonts w:hint="eastAsia" w:ascii="仿宋_GB2312" w:hAnsi="仿宋" w:eastAsia="仿宋_GB2312" w:cs="仿宋"/>
                <w:color w:val="000000"/>
                <w:sz w:val="30"/>
                <w:szCs w:val="30"/>
              </w:rPr>
              <w:t>:</w:t>
            </w:r>
            <w:r>
              <w:rPr>
                <w:rFonts w:ascii="仿宋_GB2312" w:hAnsi="仿宋" w:eastAsia="仿宋_GB2312" w:cs="仿宋"/>
                <w:color w:val="000000"/>
                <w:sz w:val="30"/>
                <w:szCs w:val="30"/>
              </w:rPr>
              <w:t>3</w:t>
            </w:r>
            <w:r>
              <w:rPr>
                <w:rFonts w:hint="eastAsia" w:ascii="仿宋_GB2312" w:hAnsi="仿宋" w:eastAsia="仿宋_GB2312" w:cs="仿宋"/>
                <w:color w:val="000000"/>
                <w:sz w:val="30"/>
                <w:szCs w:val="30"/>
              </w:rPr>
              <w:t>0-17:</w:t>
            </w:r>
            <w:r>
              <w:rPr>
                <w:rFonts w:ascii="仿宋_GB2312" w:hAnsi="仿宋" w:eastAsia="仿宋_GB2312" w:cs="仿宋"/>
                <w:color w:val="000000"/>
                <w:sz w:val="30"/>
                <w:szCs w:val="30"/>
              </w:rPr>
              <w:t>3</w:t>
            </w:r>
            <w:r>
              <w:rPr>
                <w:rFonts w:hint="eastAsia" w:ascii="仿宋_GB2312" w:hAnsi="仿宋" w:eastAsia="仿宋_GB2312" w:cs="仿宋"/>
                <w:color w:val="000000"/>
                <w:sz w:val="30"/>
                <w:szCs w:val="30"/>
              </w:rPr>
              <w:t>0</w:t>
            </w:r>
          </w:p>
        </w:tc>
        <w:tc>
          <w:tcPr>
            <w:tcW w:w="2824" w:type="dxa"/>
            <w:vAlign w:val="center"/>
          </w:tcPr>
          <w:p>
            <w:pPr>
              <w:adjustRightInd w:val="0"/>
              <w:snapToGrid w:val="0"/>
              <w:spacing w:line="380" w:lineRule="exact"/>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圆桌讨论</w:t>
            </w:r>
          </w:p>
          <w:p>
            <w:pPr>
              <w:adjustRightInd w:val="0"/>
              <w:snapToGrid w:val="0"/>
              <w:spacing w:line="380" w:lineRule="exact"/>
              <w:jc w:val="left"/>
              <w:rPr>
                <w:rFonts w:hint="eastAsia" w:ascii="仿宋_GB2312" w:hAnsi="仿宋" w:eastAsia="仿宋_GB2312" w:cs="仿宋"/>
                <w:bCs/>
                <w:color w:val="000000"/>
                <w:sz w:val="30"/>
                <w:szCs w:val="30"/>
              </w:rPr>
            </w:pPr>
            <w:r>
              <w:rPr>
                <w:rFonts w:hint="eastAsia" w:ascii="仿宋_GB2312" w:hAnsi="仿宋" w:eastAsia="仿宋_GB2312" w:cs="仿宋"/>
                <w:bCs/>
                <w:color w:val="000000"/>
                <w:sz w:val="30"/>
                <w:szCs w:val="30"/>
              </w:rPr>
              <w:t>中国生物医药投资和产融结合的创新与发展</w:t>
            </w:r>
          </w:p>
        </w:tc>
        <w:tc>
          <w:tcPr>
            <w:tcW w:w="4275" w:type="dxa"/>
            <w:vAlign w:val="center"/>
          </w:tcPr>
          <w:p>
            <w:pPr>
              <w:adjustRightInd w:val="0"/>
              <w:snapToGrid w:val="0"/>
              <w:spacing w:line="380" w:lineRule="exact"/>
              <w:jc w:val="left"/>
              <w:rPr>
                <w:rFonts w:ascii="仿宋_GB2312" w:hAnsi="仿宋" w:eastAsia="仿宋_GB2312" w:cs="仿宋"/>
                <w:color w:val="000000"/>
                <w:sz w:val="30"/>
                <w:szCs w:val="30"/>
              </w:rPr>
            </w:pPr>
            <w:r>
              <w:rPr>
                <w:rFonts w:hint="eastAsia" w:ascii="仿宋_GB2312" w:hAnsi="仿宋" w:eastAsia="仿宋_GB2312" w:cs="仿宋"/>
                <w:color w:val="000000"/>
                <w:sz w:val="30"/>
                <w:szCs w:val="30"/>
              </w:rPr>
              <w:t>主持人：田源 中国药促会投资专业委员会主任委员、元明资本创始合伙人</w:t>
            </w:r>
          </w:p>
          <w:p>
            <w:pPr>
              <w:adjustRightInd w:val="0"/>
              <w:snapToGrid w:val="0"/>
              <w:spacing w:line="380" w:lineRule="exact"/>
              <w:jc w:val="left"/>
              <w:rPr>
                <w:rFonts w:ascii="仿宋_GB2312" w:hAnsi="仿宋" w:eastAsia="仿宋_GB2312" w:cs="仿宋"/>
                <w:color w:val="000000"/>
                <w:sz w:val="30"/>
                <w:szCs w:val="30"/>
              </w:rPr>
            </w:pPr>
            <w:r>
              <w:rPr>
                <w:rFonts w:hint="eastAsia" w:ascii="仿宋_GB2312" w:hAnsi="仿宋" w:eastAsia="仿宋_GB2312" w:cs="仿宋"/>
                <w:color w:val="000000"/>
                <w:sz w:val="30"/>
                <w:szCs w:val="30"/>
              </w:rPr>
              <w:t>1、王健 奥博亚洲基金创始人</w:t>
            </w:r>
          </w:p>
          <w:p>
            <w:pPr>
              <w:adjustRightInd w:val="0"/>
              <w:snapToGrid w:val="0"/>
              <w:spacing w:line="380" w:lineRule="exact"/>
              <w:jc w:val="left"/>
              <w:rPr>
                <w:rFonts w:ascii="仿宋_GB2312" w:hAnsi="仿宋" w:eastAsia="仿宋_GB2312" w:cs="仿宋"/>
                <w:color w:val="000000"/>
                <w:sz w:val="30"/>
                <w:szCs w:val="30"/>
              </w:rPr>
            </w:pPr>
            <w:r>
              <w:rPr>
                <w:rFonts w:hint="eastAsia" w:ascii="仿宋_GB2312" w:hAnsi="仿宋" w:eastAsia="仿宋_GB2312" w:cs="仿宋"/>
                <w:color w:val="000000"/>
                <w:sz w:val="30"/>
                <w:szCs w:val="30"/>
              </w:rPr>
              <w:t>2、吕大忠 国投创新董事总经理</w:t>
            </w:r>
          </w:p>
          <w:p>
            <w:pPr>
              <w:adjustRightInd w:val="0"/>
              <w:snapToGrid w:val="0"/>
              <w:spacing w:line="380" w:lineRule="exact"/>
              <w:jc w:val="left"/>
              <w:rPr>
                <w:rFonts w:ascii="仿宋_GB2312" w:hAnsi="仿宋" w:eastAsia="仿宋_GB2312" w:cs="仿宋"/>
                <w:color w:val="000000"/>
                <w:sz w:val="30"/>
                <w:szCs w:val="30"/>
              </w:rPr>
            </w:pPr>
            <w:r>
              <w:rPr>
                <w:rFonts w:hint="eastAsia" w:ascii="仿宋_GB2312" w:hAnsi="仿宋" w:eastAsia="仿宋_GB2312" w:cs="仿宋"/>
                <w:color w:val="000000"/>
                <w:sz w:val="30"/>
                <w:szCs w:val="30"/>
              </w:rPr>
              <w:t>3、蔡达健 高特佳投资创始人</w:t>
            </w:r>
          </w:p>
          <w:p>
            <w:pPr>
              <w:adjustRightInd w:val="0"/>
              <w:snapToGrid w:val="0"/>
              <w:spacing w:line="380" w:lineRule="exact"/>
              <w:jc w:val="left"/>
              <w:rPr>
                <w:rFonts w:ascii="仿宋_GB2312" w:hAnsi="仿宋" w:eastAsia="仿宋_GB2312" w:cs="仿宋"/>
                <w:color w:val="000000"/>
                <w:sz w:val="30"/>
                <w:szCs w:val="30"/>
              </w:rPr>
            </w:pPr>
            <w:r>
              <w:rPr>
                <w:rFonts w:hint="eastAsia" w:ascii="仿宋_GB2312" w:hAnsi="仿宋" w:eastAsia="仿宋_GB2312" w:cs="仿宋"/>
                <w:color w:val="000000"/>
                <w:sz w:val="30"/>
                <w:szCs w:val="30"/>
              </w:rPr>
              <w:t>4、朱晋桥 倚锋创投董事长</w:t>
            </w:r>
          </w:p>
          <w:p>
            <w:pPr>
              <w:adjustRightInd w:val="0"/>
              <w:snapToGrid w:val="0"/>
              <w:spacing w:line="380" w:lineRule="exact"/>
              <w:jc w:val="left"/>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5、曾志强 华盖资本合伙人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4" w:hRule="atLeast"/>
        </w:trPr>
        <w:tc>
          <w:tcPr>
            <w:tcW w:w="1985" w:type="dxa"/>
            <w:vAlign w:val="center"/>
          </w:tcPr>
          <w:p>
            <w:pPr>
              <w:adjustRightInd w:val="0"/>
              <w:snapToGrid w:val="0"/>
              <w:spacing w:line="380" w:lineRule="exact"/>
              <w:jc w:val="center"/>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17:</w:t>
            </w:r>
            <w:r>
              <w:rPr>
                <w:rFonts w:ascii="仿宋_GB2312" w:hAnsi="仿宋" w:eastAsia="仿宋_GB2312" w:cs="仿宋"/>
                <w:color w:val="000000"/>
                <w:sz w:val="30"/>
                <w:szCs w:val="30"/>
              </w:rPr>
              <w:t>3</w:t>
            </w:r>
            <w:r>
              <w:rPr>
                <w:rFonts w:hint="eastAsia" w:ascii="仿宋_GB2312" w:hAnsi="仿宋" w:eastAsia="仿宋_GB2312" w:cs="仿宋"/>
                <w:color w:val="000000"/>
                <w:sz w:val="30"/>
                <w:szCs w:val="30"/>
              </w:rPr>
              <w:t>0-1</w:t>
            </w:r>
            <w:r>
              <w:rPr>
                <w:rFonts w:ascii="仿宋_GB2312" w:hAnsi="仿宋" w:eastAsia="仿宋_GB2312" w:cs="仿宋"/>
                <w:color w:val="000000"/>
                <w:sz w:val="30"/>
                <w:szCs w:val="30"/>
              </w:rPr>
              <w:t>8</w:t>
            </w:r>
            <w:r>
              <w:rPr>
                <w:rFonts w:hint="eastAsia" w:ascii="仿宋_GB2312" w:hAnsi="仿宋" w:eastAsia="仿宋_GB2312" w:cs="仿宋"/>
                <w:color w:val="000000"/>
                <w:sz w:val="30"/>
                <w:szCs w:val="30"/>
              </w:rPr>
              <w:t>:</w:t>
            </w:r>
            <w:r>
              <w:rPr>
                <w:rFonts w:ascii="仿宋_GB2312" w:hAnsi="仿宋" w:eastAsia="仿宋_GB2312" w:cs="仿宋"/>
                <w:color w:val="000000"/>
                <w:sz w:val="30"/>
                <w:szCs w:val="30"/>
              </w:rPr>
              <w:t>0</w:t>
            </w:r>
            <w:r>
              <w:rPr>
                <w:rFonts w:hint="eastAsia" w:ascii="仿宋_GB2312" w:hAnsi="仿宋" w:eastAsia="仿宋_GB2312" w:cs="仿宋"/>
                <w:color w:val="000000"/>
                <w:sz w:val="30"/>
                <w:szCs w:val="30"/>
              </w:rPr>
              <w:t>0</w:t>
            </w:r>
          </w:p>
        </w:tc>
        <w:tc>
          <w:tcPr>
            <w:tcW w:w="7099" w:type="dxa"/>
            <w:gridSpan w:val="2"/>
            <w:vAlign w:val="center"/>
          </w:tcPr>
          <w:p>
            <w:pPr>
              <w:adjustRightInd w:val="0"/>
              <w:snapToGrid w:val="0"/>
              <w:spacing w:line="380" w:lineRule="exact"/>
              <w:jc w:val="center"/>
              <w:rPr>
                <w:rFonts w:hint="eastAsia" w:ascii="仿宋_GB2312" w:hAnsi="仿宋" w:eastAsia="仿宋_GB2312" w:cs="仿宋"/>
                <w:color w:val="000000"/>
                <w:sz w:val="30"/>
                <w:szCs w:val="30"/>
              </w:rPr>
            </w:pPr>
            <w:r>
              <w:rPr>
                <w:rFonts w:hint="eastAsia" w:ascii="仿宋_GB2312" w:hAnsi="仿宋" w:eastAsia="仿宋_GB2312" w:cs="仿宋"/>
                <w:color w:val="000000"/>
                <w:sz w:val="30"/>
                <w:szCs w:val="30"/>
              </w:rPr>
              <w:t>自由交流</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Neue">
    <w:altName w:val="Segoe Print"/>
    <w:panose1 w:val="00000000000000000000"/>
    <w:charset w:val="00"/>
    <w:family w:val="auto"/>
    <w:pitch w:val="default"/>
    <w:sig w:usb0="00000000" w:usb1="00000000" w:usb2="00000010" w:usb3="00000000" w:csb0="00000001" w:csb1="00000000"/>
  </w:font>
  <w:font w:name="华文楷体">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A8A"/>
    <w:rsid w:val="00516A8A"/>
    <w:rsid w:val="0058779C"/>
    <w:rsid w:val="006D4B64"/>
    <w:rsid w:val="00F360DF"/>
    <w:rsid w:val="00F679D8"/>
    <w:rsid w:val="00F71C3A"/>
    <w:rsid w:val="3A527676"/>
    <w:rsid w:val="590D2AD6"/>
    <w:rsid w:val="72306B0B"/>
    <w:rsid w:val="759D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5"/>
    <w:link w:val="2"/>
    <w:semiHidden/>
    <w:uiPriority w:val="99"/>
    <w:rPr>
      <w:sz w:val="18"/>
      <w:szCs w:val="18"/>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534</Words>
  <Characters>3050</Characters>
  <Lines>25</Lines>
  <Paragraphs>7</Paragraphs>
  <TotalTime>3</TotalTime>
  <ScaleCrop>false</ScaleCrop>
  <LinksUpToDate>false</LinksUpToDate>
  <CharactersWithSpaces>3577</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2018-09-13T09:25:00Z</dcterms:created>
  <dc:creator>Admin</dc:creator>
  <cp:lastModifiedBy>ljh</cp:lastModifiedBy>
  <dcterms:modified xsi:type="dcterms:W3CDTF">2018-09-14T10:43:36Z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